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1C03" w14:textId="77777777" w:rsidR="00722F15" w:rsidRPr="00F76ECA" w:rsidRDefault="00722F15">
      <w:pPr>
        <w:jc w:val="center"/>
        <w:rPr>
          <w:rFonts w:ascii="Times New Roman" w:hAnsi="Times New Roman"/>
        </w:rPr>
      </w:pPr>
      <w:r w:rsidRPr="00F76ECA">
        <w:rPr>
          <w:rFonts w:ascii="Times New Roman" w:hAnsi="Times New Roman"/>
        </w:rPr>
        <w:t>JORDAN SCHOOL DISTRICT</w:t>
      </w:r>
    </w:p>
    <w:p w14:paraId="25EC8106" w14:textId="3A29FA1B" w:rsidR="00722F15" w:rsidRPr="00F76ECA" w:rsidRDefault="00E77BEB">
      <w:pPr>
        <w:jc w:val="center"/>
        <w:rPr>
          <w:rFonts w:ascii="Times New Roman" w:hAnsi="Times New Roman"/>
          <w:sz w:val="18"/>
        </w:rPr>
      </w:pPr>
      <w:r>
        <w:rPr>
          <w:rFonts w:ascii="Times New Roman" w:hAnsi="Times New Roman"/>
          <w:sz w:val="18"/>
        </w:rPr>
        <w:t>Anthony Godfrey</w:t>
      </w:r>
      <w:r w:rsidR="00722F15" w:rsidRPr="00F76ECA">
        <w:rPr>
          <w:rFonts w:ascii="Times New Roman" w:hAnsi="Times New Roman"/>
          <w:sz w:val="18"/>
        </w:rPr>
        <w:t>, Ed.D., Superintendent of Schools</w:t>
      </w:r>
    </w:p>
    <w:p w14:paraId="7D1E862A" w14:textId="77777777" w:rsidR="00722F15" w:rsidRPr="00F76ECA" w:rsidRDefault="008B77EF">
      <w:pPr>
        <w:jc w:val="center"/>
        <w:rPr>
          <w:rFonts w:ascii="Times New Roman" w:hAnsi="Times New Roman"/>
          <w:sz w:val="18"/>
        </w:rPr>
      </w:pPr>
      <w:r w:rsidRPr="00F76ECA">
        <w:rPr>
          <w:rFonts w:ascii="Times New Roman" w:hAnsi="Times New Roman"/>
          <w:sz w:val="18"/>
        </w:rPr>
        <w:t>West Jordan</w:t>
      </w:r>
      <w:r w:rsidR="00722F15" w:rsidRPr="00F76ECA">
        <w:rPr>
          <w:rFonts w:ascii="Times New Roman" w:hAnsi="Times New Roman"/>
          <w:sz w:val="18"/>
        </w:rPr>
        <w:t>, Utah</w:t>
      </w:r>
    </w:p>
    <w:p w14:paraId="170DE1EF" w14:textId="77777777" w:rsidR="00722F15" w:rsidRPr="00F76ECA" w:rsidRDefault="00722F15">
      <w:pPr>
        <w:jc w:val="center"/>
        <w:rPr>
          <w:rFonts w:ascii="Times New Roman" w:hAnsi="Times New Roman"/>
          <w:sz w:val="20"/>
        </w:rPr>
      </w:pPr>
    </w:p>
    <w:p w14:paraId="0AA15E3A" w14:textId="77777777" w:rsidR="00722F15" w:rsidRPr="00F76ECA" w:rsidRDefault="00722F15">
      <w:pPr>
        <w:pStyle w:val="Heading1"/>
        <w:rPr>
          <w:rFonts w:ascii="Times New Roman" w:hAnsi="Times New Roman"/>
        </w:rPr>
      </w:pPr>
      <w:r w:rsidRPr="00F76ECA">
        <w:rPr>
          <w:rFonts w:ascii="Times New Roman" w:hAnsi="Times New Roman"/>
        </w:rPr>
        <w:t>Intradistrict Communication</w:t>
      </w:r>
    </w:p>
    <w:p w14:paraId="6BA886B9" w14:textId="77777777" w:rsidR="00722F15" w:rsidRPr="00735C2D" w:rsidRDefault="00722F15">
      <w:pPr>
        <w:rPr>
          <w:rFonts w:ascii="Geneva" w:hAnsi="Geneva"/>
          <w:b/>
          <w:sz w:val="16"/>
          <w:szCs w:val="16"/>
        </w:rPr>
      </w:pPr>
    </w:p>
    <w:p w14:paraId="3B455521" w14:textId="22CF67F0" w:rsidR="00722F15" w:rsidRDefault="00696151">
      <w:pPr>
        <w:rPr>
          <w:rFonts w:ascii="Times New Roman" w:hAnsi="Times New Roman"/>
        </w:rPr>
      </w:pPr>
      <w:r>
        <w:rPr>
          <w:rFonts w:ascii="Times New Roman" w:hAnsi="Times New Roman"/>
        </w:rPr>
        <w:t>DATE:</w:t>
      </w:r>
      <w:r>
        <w:rPr>
          <w:rFonts w:ascii="Times New Roman" w:hAnsi="Times New Roman"/>
        </w:rPr>
        <w:tab/>
      </w:r>
      <w:r>
        <w:rPr>
          <w:rFonts w:ascii="Times New Roman" w:hAnsi="Times New Roman"/>
        </w:rPr>
        <w:tab/>
      </w:r>
      <w:r w:rsidR="00951F44">
        <w:rPr>
          <w:rFonts w:ascii="Times New Roman" w:hAnsi="Times New Roman"/>
        </w:rPr>
        <w:t xml:space="preserve">Thursday, </w:t>
      </w:r>
      <w:r w:rsidR="005E36E9">
        <w:rPr>
          <w:rFonts w:ascii="Times New Roman" w:hAnsi="Times New Roman"/>
        </w:rPr>
        <w:t>March</w:t>
      </w:r>
      <w:r w:rsidR="00951F44">
        <w:rPr>
          <w:rFonts w:ascii="Times New Roman" w:hAnsi="Times New Roman"/>
        </w:rPr>
        <w:t xml:space="preserve"> </w:t>
      </w:r>
      <w:r w:rsidR="00661DD4">
        <w:rPr>
          <w:rFonts w:ascii="Times New Roman" w:hAnsi="Times New Roman"/>
        </w:rPr>
        <w:t>12</w:t>
      </w:r>
      <w:r w:rsidR="00951F44">
        <w:rPr>
          <w:rFonts w:ascii="Times New Roman" w:hAnsi="Times New Roman"/>
        </w:rPr>
        <w:t>, 202</w:t>
      </w:r>
      <w:r w:rsidR="00661DD4">
        <w:rPr>
          <w:rFonts w:ascii="Times New Roman" w:hAnsi="Times New Roman"/>
        </w:rPr>
        <w:t>6</w:t>
      </w:r>
    </w:p>
    <w:p w14:paraId="6DDF9872" w14:textId="77777777" w:rsidR="00722F15" w:rsidRDefault="00722F15">
      <w:pPr>
        <w:rPr>
          <w:rFonts w:ascii="Times New Roman" w:hAnsi="Times New Roman"/>
        </w:rPr>
      </w:pPr>
    </w:p>
    <w:p w14:paraId="4F6D0D07" w14:textId="6DA3DCDD" w:rsidR="00DB4B00" w:rsidRDefault="00722F15" w:rsidP="004827FF">
      <w:pPr>
        <w:rPr>
          <w:rFonts w:ascii="Times New Roman" w:hAnsi="Times New Roman"/>
        </w:rPr>
      </w:pPr>
      <w:r>
        <w:rPr>
          <w:rFonts w:ascii="Times New Roman" w:hAnsi="Times New Roman"/>
        </w:rPr>
        <w:t>TO:</w:t>
      </w:r>
      <w:r>
        <w:rPr>
          <w:rFonts w:ascii="Times New Roman" w:hAnsi="Times New Roman"/>
        </w:rPr>
        <w:tab/>
      </w:r>
      <w:r w:rsidR="002323E4">
        <w:rPr>
          <w:rFonts w:ascii="Times New Roman" w:hAnsi="Times New Roman"/>
        </w:rPr>
        <w:tab/>
      </w:r>
      <w:r w:rsidR="00BD11FD">
        <w:rPr>
          <w:rFonts w:ascii="Times New Roman" w:hAnsi="Times New Roman"/>
        </w:rPr>
        <w:t>All School Administrators</w:t>
      </w:r>
      <w:r w:rsidR="00DB4B00">
        <w:rPr>
          <w:rFonts w:ascii="Times New Roman" w:hAnsi="Times New Roman"/>
        </w:rPr>
        <w:tab/>
      </w:r>
    </w:p>
    <w:p w14:paraId="28674138" w14:textId="77777777" w:rsidR="00722F15" w:rsidRDefault="00696151">
      <w:pPr>
        <w:rPr>
          <w:rFonts w:ascii="Times New Roman" w:hAnsi="Times New Roman"/>
        </w:rPr>
      </w:pPr>
      <w:r>
        <w:rPr>
          <w:rFonts w:ascii="Times New Roman" w:hAnsi="Times New Roman"/>
        </w:rPr>
        <w:tab/>
      </w:r>
    </w:p>
    <w:p w14:paraId="16067B84" w14:textId="5D6862A6" w:rsidR="00194CC8" w:rsidRDefault="00722F15" w:rsidP="00194CC8">
      <w:pPr>
        <w:rPr>
          <w:rFonts w:ascii="Times New Roman" w:hAnsi="Times New Roman"/>
        </w:rPr>
      </w:pPr>
      <w:r>
        <w:rPr>
          <w:rFonts w:ascii="Times New Roman" w:hAnsi="Times New Roman"/>
        </w:rPr>
        <w:t>FROM:</w:t>
      </w:r>
      <w:r>
        <w:rPr>
          <w:rFonts w:ascii="Times New Roman" w:hAnsi="Times New Roman"/>
        </w:rPr>
        <w:tab/>
      </w:r>
      <w:r w:rsidR="0094280A">
        <w:rPr>
          <w:rFonts w:ascii="Times New Roman" w:hAnsi="Times New Roman"/>
        </w:rPr>
        <w:t>Carolyn Gough,</w:t>
      </w:r>
      <w:r w:rsidR="00194CC8">
        <w:rPr>
          <w:rFonts w:ascii="Times New Roman" w:hAnsi="Times New Roman"/>
        </w:rPr>
        <w:t xml:space="preserve"> Administrator of Teaching and Learning</w:t>
      </w:r>
    </w:p>
    <w:p w14:paraId="11BD3DEA" w14:textId="74829571" w:rsidR="00194CC8" w:rsidRDefault="00194CC8" w:rsidP="00194CC8">
      <w:pPr>
        <w:rPr>
          <w:rFonts w:ascii="Times New Roman" w:hAnsi="Times New Roman"/>
          <w:noProof/>
        </w:rPr>
      </w:pPr>
      <w:r>
        <w:rPr>
          <w:rFonts w:ascii="Times New Roman" w:hAnsi="Times New Roman"/>
        </w:rPr>
        <w:tab/>
      </w:r>
      <w:r>
        <w:rPr>
          <w:rFonts w:ascii="Times New Roman" w:hAnsi="Times New Roman"/>
        </w:rPr>
        <w:tab/>
      </w:r>
      <w:r>
        <w:rPr>
          <w:rFonts w:ascii="Times New Roman" w:hAnsi="Times New Roman"/>
          <w:noProof/>
        </w:rPr>
        <w:t xml:space="preserve">Ben Jameson, Director of </w:t>
      </w:r>
      <w:r w:rsidR="005E36E9">
        <w:rPr>
          <w:rFonts w:ascii="Times New Roman" w:hAnsi="Times New Roman"/>
          <w:noProof/>
        </w:rPr>
        <w:t>Assessment</w:t>
      </w:r>
      <w:r>
        <w:rPr>
          <w:rFonts w:ascii="Times New Roman" w:hAnsi="Times New Roman"/>
          <w:noProof/>
        </w:rPr>
        <w:t>, Research and Accountability</w:t>
      </w:r>
    </w:p>
    <w:p w14:paraId="3E642F20" w14:textId="2028DB42" w:rsidR="004904B0" w:rsidRDefault="003C2488">
      <w:pPr>
        <w:rPr>
          <w:rFonts w:ascii="Times New Roman" w:hAnsi="Times New Roman"/>
          <w:noProof/>
        </w:rPr>
      </w:pPr>
      <w:r>
        <w:rPr>
          <w:rFonts w:ascii="Times New Roman" w:hAnsi="Times New Roman"/>
          <w:noProof/>
        </w:rPr>
        <w:tab/>
      </w:r>
      <w:r>
        <w:rPr>
          <w:rFonts w:ascii="Times New Roman" w:hAnsi="Times New Roman"/>
          <w:noProof/>
        </w:rPr>
        <w:tab/>
      </w:r>
    </w:p>
    <w:p w14:paraId="2470ADAD" w14:textId="46F67267" w:rsidR="00722F15" w:rsidRDefault="002323E4" w:rsidP="002323E4">
      <w:pPr>
        <w:ind w:left="1440" w:hanging="1440"/>
      </w:pPr>
      <w:r>
        <w:t>SUBJECT:</w:t>
      </w:r>
      <w:r>
        <w:tab/>
      </w:r>
      <w:r w:rsidR="009C3194">
        <w:t>State Testing</w:t>
      </w:r>
      <w:r w:rsidR="00951F44">
        <w:t xml:space="preserve"> Reminders</w:t>
      </w:r>
    </w:p>
    <w:p w14:paraId="11C39187" w14:textId="553CB9AA" w:rsidR="00E60782" w:rsidRDefault="00914353" w:rsidP="002323E4">
      <w:pPr>
        <w:ind w:left="1440" w:hanging="1440"/>
      </w:pPr>
      <w:r>
        <w:t>________________________________________________________________________</w:t>
      </w:r>
      <w:r w:rsidR="00E41FB5">
        <w:t>________</w:t>
      </w:r>
    </w:p>
    <w:p w14:paraId="1FDB9439" w14:textId="1B902692" w:rsidR="00B121E3" w:rsidRDefault="00951F44">
      <w:r>
        <w:t xml:space="preserve">The following are friendly reminders from the state’s </w:t>
      </w:r>
      <w:hyperlink r:id="rId5" w:history="1">
        <w:r w:rsidRPr="00FB7E8E">
          <w:rPr>
            <w:rStyle w:val="Hyperlink"/>
          </w:rPr>
          <w:t xml:space="preserve">testing </w:t>
        </w:r>
        <w:r w:rsidRPr="00FB7E8E">
          <w:rPr>
            <w:rStyle w:val="Hyperlink"/>
          </w:rPr>
          <w:t>e</w:t>
        </w:r>
        <w:r w:rsidRPr="00FB7E8E">
          <w:rPr>
            <w:rStyle w:val="Hyperlink"/>
          </w:rPr>
          <w:t>thics p</w:t>
        </w:r>
        <w:r w:rsidRPr="00FB7E8E">
          <w:rPr>
            <w:rStyle w:val="Hyperlink"/>
          </w:rPr>
          <w:t>o</w:t>
        </w:r>
        <w:r w:rsidRPr="00FB7E8E">
          <w:rPr>
            <w:rStyle w:val="Hyperlink"/>
          </w:rPr>
          <w:t>licy</w:t>
        </w:r>
      </w:hyperlink>
      <w:r>
        <w:t>:</w:t>
      </w:r>
    </w:p>
    <w:p w14:paraId="72A79413" w14:textId="602693D5" w:rsidR="00951F44" w:rsidRDefault="00951F44" w:rsidP="00951F44">
      <w:pPr>
        <w:pStyle w:val="ListParagraph"/>
        <w:numPr>
          <w:ilvl w:val="0"/>
          <w:numId w:val="19"/>
        </w:numPr>
      </w:pPr>
      <w:r>
        <w:t>“Utah LEAs and Licensed Utah educators may use a student’s score from a statewide assessment to improve the student’s academic grade for or demonstrate the student’s competency within a relevant course.”</w:t>
      </w:r>
    </w:p>
    <w:p w14:paraId="2867B2EF" w14:textId="77777777" w:rsidR="00951F44" w:rsidRDefault="00951F44" w:rsidP="00951F44">
      <w:pPr>
        <w:pStyle w:val="ListParagraph"/>
        <w:numPr>
          <w:ilvl w:val="0"/>
          <w:numId w:val="19"/>
        </w:numPr>
      </w:pPr>
      <w:r>
        <w:t>“Licensed Utah educators shall ensure that:</w:t>
      </w:r>
    </w:p>
    <w:p w14:paraId="43023DD4" w14:textId="74DFE844" w:rsidR="00951F44" w:rsidRDefault="00951F44" w:rsidP="00951F44">
      <w:pPr>
        <w:pStyle w:val="ListParagraph"/>
        <w:numPr>
          <w:ilvl w:val="1"/>
          <w:numId w:val="19"/>
        </w:numPr>
      </w:pPr>
      <w:r>
        <w:t>“Students are not penalized who have been exempted from a statewide assessment</w:t>
      </w:r>
    </w:p>
    <w:p w14:paraId="730C56B1" w14:textId="6A8EFF6E" w:rsidR="00951F44" w:rsidRDefault="00951F44" w:rsidP="00951F44">
      <w:pPr>
        <w:pStyle w:val="ListParagraph"/>
        <w:numPr>
          <w:ilvl w:val="1"/>
          <w:numId w:val="19"/>
        </w:numPr>
      </w:pPr>
      <w:r>
        <w:t>“Students aren’t provided a nonacademic award for participating in or performing well on a statewide assessment</w:t>
      </w:r>
    </w:p>
    <w:p w14:paraId="0AEA1CEB" w14:textId="4CDE6BA5" w:rsidR="00951F44" w:rsidRDefault="00951F44" w:rsidP="00951F44">
      <w:pPr>
        <w:pStyle w:val="ListParagraph"/>
        <w:numPr>
          <w:ilvl w:val="1"/>
          <w:numId w:val="19"/>
        </w:numPr>
      </w:pPr>
      <w:r>
        <w:t>“</w:t>
      </w:r>
      <w:r w:rsidR="000444FE">
        <w:t>Students are provided an alternate learning activity if they are exempted by a parent from a statewide assessment</w:t>
      </w:r>
      <w:r w:rsidR="005E36E9">
        <w:t>.</w:t>
      </w:r>
      <w:r w:rsidR="000444FE">
        <w:t>”</w:t>
      </w:r>
    </w:p>
    <w:p w14:paraId="0CB391B5" w14:textId="3506398E" w:rsidR="000444FE" w:rsidRDefault="000444FE" w:rsidP="000444FE"/>
    <w:p w14:paraId="4ADAD17B" w14:textId="623FDF55" w:rsidR="000444FE" w:rsidRDefault="000444FE" w:rsidP="000444FE">
      <w:r>
        <w:t>The following additional guidance may help address specific questions that arise from the part of the state’s testing ethics policy quoted above:</w:t>
      </w:r>
    </w:p>
    <w:p w14:paraId="47679812" w14:textId="04247CF8" w:rsidR="000444FE" w:rsidRDefault="000444FE" w:rsidP="000444FE">
      <w:pPr>
        <w:pStyle w:val="ListParagraph"/>
        <w:numPr>
          <w:ilvl w:val="0"/>
          <w:numId w:val="20"/>
        </w:numPr>
      </w:pPr>
      <w:r>
        <w:t>Using a student’s score from a state assessment can only improve a student’s grade – not hurt it.</w:t>
      </w:r>
      <w:r w:rsidR="005E36E9">
        <w:t xml:space="preserve">  However</w:t>
      </w:r>
      <w:r w:rsidR="00661DD4">
        <w:t>,</w:t>
      </w:r>
      <w:r w:rsidR="005E36E9">
        <w:t xml:space="preserve"> points are awarded for those who meet goals or earn proficiency on the state assessment, students should either receive 100% of the points possible or be excused from the assignment.</w:t>
      </w:r>
    </w:p>
    <w:p w14:paraId="2FEB4C82" w14:textId="6E2D8C61" w:rsidR="000444FE" w:rsidRDefault="000444FE" w:rsidP="000444FE">
      <w:pPr>
        <w:pStyle w:val="ListParagraph"/>
        <w:numPr>
          <w:ilvl w:val="0"/>
          <w:numId w:val="20"/>
        </w:numPr>
      </w:pPr>
      <w:r>
        <w:t>Educators may not use a student’s score on a state assessment to determine an overall grade for the course.</w:t>
      </w:r>
      <w:r w:rsidR="00A127D1">
        <w:t xml:space="preserve">  It can be used</w:t>
      </w:r>
      <w:r w:rsidR="005E36E9">
        <w:t>,</w:t>
      </w:r>
      <w:r w:rsidR="00A127D1">
        <w:t xml:space="preserve"> </w:t>
      </w:r>
      <w:r w:rsidR="00054309">
        <w:t xml:space="preserve">in conjunction </w:t>
      </w:r>
      <w:r w:rsidR="00A127D1">
        <w:t>with other evidence</w:t>
      </w:r>
      <w:r w:rsidR="005E36E9">
        <w:t>,</w:t>
      </w:r>
      <w:r w:rsidR="00A127D1">
        <w:t xml:space="preserve"> to </w:t>
      </w:r>
      <w:r w:rsidR="00054309">
        <w:t xml:space="preserve">help </w:t>
      </w:r>
      <w:r w:rsidR="00A127D1">
        <w:t>determine a student’s overall grade.</w:t>
      </w:r>
    </w:p>
    <w:p w14:paraId="52643B67" w14:textId="2AD868C8" w:rsidR="000444FE" w:rsidRDefault="000444FE" w:rsidP="000444FE">
      <w:pPr>
        <w:pStyle w:val="ListParagraph"/>
        <w:numPr>
          <w:ilvl w:val="0"/>
          <w:numId w:val="20"/>
        </w:numPr>
      </w:pPr>
      <w:r>
        <w:t>Educators may not assign participation points on students’ grades for taking a state assessment.</w:t>
      </w:r>
    </w:p>
    <w:p w14:paraId="588C651D" w14:textId="2BF2CA78" w:rsidR="000444FE" w:rsidRDefault="000444FE" w:rsidP="009C3194">
      <w:pPr>
        <w:pStyle w:val="ListParagraph"/>
        <w:numPr>
          <w:ilvl w:val="0"/>
          <w:numId w:val="20"/>
        </w:numPr>
      </w:pPr>
      <w:r>
        <w:t>The alternate learning activity for students whose parents have opted them out of taking the state assessment can be an alternate assessment.  That said, using a student’s score on the alternate assessment or activity on a student’s grade can only improve the student’s grade – not hurt it.</w:t>
      </w:r>
    </w:p>
    <w:p w14:paraId="6E936006" w14:textId="6023C0F6" w:rsidR="002B54EC" w:rsidRDefault="002B54EC" w:rsidP="002B54EC">
      <w:pPr>
        <w:pStyle w:val="ListParagraph"/>
        <w:numPr>
          <w:ilvl w:val="1"/>
          <w:numId w:val="20"/>
        </w:numPr>
      </w:pPr>
      <w:r>
        <w:t>In addition, if the incentive is that a student who demonstrates proficiency on a state assessment means that they don’t have to take the class final exam, then students who have been opted out would also need two opportunities to demonstrate proficiency.  For instance, if a student who was opted out demonstrated proficiency on the alternate assessment (administered while other students took the state assessment), then they wouldn’t have to take the class final exam.</w:t>
      </w:r>
    </w:p>
    <w:p w14:paraId="015EB88E" w14:textId="77777777" w:rsidR="002B54EC" w:rsidRDefault="002B54EC" w:rsidP="002B54EC"/>
    <w:p w14:paraId="53E060C5" w14:textId="2996A8B8" w:rsidR="002B54EC" w:rsidRDefault="002B54EC" w:rsidP="002B54EC">
      <w:r>
        <w:t xml:space="preserve">Please contact Ben Jameson in </w:t>
      </w:r>
      <w:r w:rsidR="005E36E9">
        <w:t>Assessment</w:t>
      </w:r>
      <w:r>
        <w:t>, Research &amp; Accountability with questions.</w:t>
      </w:r>
    </w:p>
    <w:sectPr w:rsidR="002B54EC" w:rsidSect="007676B3">
      <w:pgSz w:w="12240" w:h="15840"/>
      <w:pgMar w:top="720"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D98"/>
    <w:multiLevelType w:val="multilevel"/>
    <w:tmpl w:val="142C4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70F90"/>
    <w:multiLevelType w:val="hybridMultilevel"/>
    <w:tmpl w:val="786C6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D01E0"/>
    <w:multiLevelType w:val="multilevel"/>
    <w:tmpl w:val="2C9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1441B"/>
    <w:multiLevelType w:val="hybridMultilevel"/>
    <w:tmpl w:val="1A7E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B5A6D"/>
    <w:multiLevelType w:val="multilevel"/>
    <w:tmpl w:val="A7C4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2549D"/>
    <w:multiLevelType w:val="hybridMultilevel"/>
    <w:tmpl w:val="85F2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6728D"/>
    <w:multiLevelType w:val="multilevel"/>
    <w:tmpl w:val="C8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46903"/>
    <w:multiLevelType w:val="hybridMultilevel"/>
    <w:tmpl w:val="EA30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A7D08"/>
    <w:multiLevelType w:val="hybridMultilevel"/>
    <w:tmpl w:val="F35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157BB"/>
    <w:multiLevelType w:val="hybridMultilevel"/>
    <w:tmpl w:val="DA48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8223A"/>
    <w:multiLevelType w:val="multilevel"/>
    <w:tmpl w:val="C8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54D85"/>
    <w:multiLevelType w:val="hybridMultilevel"/>
    <w:tmpl w:val="738A0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B0707"/>
    <w:multiLevelType w:val="hybridMultilevel"/>
    <w:tmpl w:val="9BFE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F0B2E"/>
    <w:multiLevelType w:val="multilevel"/>
    <w:tmpl w:val="36BE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A6BCB"/>
    <w:multiLevelType w:val="hybridMultilevel"/>
    <w:tmpl w:val="24EA73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62A80245"/>
    <w:multiLevelType w:val="multilevel"/>
    <w:tmpl w:val="91E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82DD2"/>
    <w:multiLevelType w:val="multilevel"/>
    <w:tmpl w:val="353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E97E4D"/>
    <w:multiLevelType w:val="hybridMultilevel"/>
    <w:tmpl w:val="4DB4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51DF1"/>
    <w:multiLevelType w:val="hybridMultilevel"/>
    <w:tmpl w:val="CE5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5444D"/>
    <w:multiLevelType w:val="hybridMultilevel"/>
    <w:tmpl w:val="0D76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075772">
    <w:abstractNumId w:val="7"/>
  </w:num>
  <w:num w:numId="2" w16cid:durableId="1403409967">
    <w:abstractNumId w:val="12"/>
  </w:num>
  <w:num w:numId="3" w16cid:durableId="373315234">
    <w:abstractNumId w:val="1"/>
  </w:num>
  <w:num w:numId="4" w16cid:durableId="914126149">
    <w:abstractNumId w:val="14"/>
  </w:num>
  <w:num w:numId="5" w16cid:durableId="680395991">
    <w:abstractNumId w:val="8"/>
  </w:num>
  <w:num w:numId="6" w16cid:durableId="208956328">
    <w:abstractNumId w:val="19"/>
  </w:num>
  <w:num w:numId="7" w16cid:durableId="929243751">
    <w:abstractNumId w:val="9"/>
  </w:num>
  <w:num w:numId="8" w16cid:durableId="326246094">
    <w:abstractNumId w:val="4"/>
  </w:num>
  <w:num w:numId="9" w16cid:durableId="1066992203">
    <w:abstractNumId w:val="0"/>
  </w:num>
  <w:num w:numId="10" w16cid:durableId="66613343">
    <w:abstractNumId w:val="16"/>
  </w:num>
  <w:num w:numId="11" w16cid:durableId="1791707358">
    <w:abstractNumId w:val="6"/>
  </w:num>
  <w:num w:numId="12" w16cid:durableId="1917666672">
    <w:abstractNumId w:val="13"/>
  </w:num>
  <w:num w:numId="13" w16cid:durableId="1312061116">
    <w:abstractNumId w:val="15"/>
  </w:num>
  <w:num w:numId="14" w16cid:durableId="882063697">
    <w:abstractNumId w:val="2"/>
  </w:num>
  <w:num w:numId="15" w16cid:durableId="966930072">
    <w:abstractNumId w:val="10"/>
  </w:num>
  <w:num w:numId="16" w16cid:durableId="1622960293">
    <w:abstractNumId w:val="17"/>
  </w:num>
  <w:num w:numId="17" w16cid:durableId="1403142240">
    <w:abstractNumId w:val="18"/>
  </w:num>
  <w:num w:numId="18" w16cid:durableId="799346820">
    <w:abstractNumId w:val="3"/>
  </w:num>
  <w:num w:numId="19" w16cid:durableId="1494830365">
    <w:abstractNumId w:val="5"/>
  </w:num>
  <w:num w:numId="20" w16cid:durableId="389350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8C"/>
    <w:rsid w:val="00030EBA"/>
    <w:rsid w:val="000444FE"/>
    <w:rsid w:val="00054309"/>
    <w:rsid w:val="0007229F"/>
    <w:rsid w:val="00095223"/>
    <w:rsid w:val="000A1B1B"/>
    <w:rsid w:val="000E6D98"/>
    <w:rsid w:val="000F23BB"/>
    <w:rsid w:val="00101279"/>
    <w:rsid w:val="0013274A"/>
    <w:rsid w:val="00182021"/>
    <w:rsid w:val="00182C8C"/>
    <w:rsid w:val="00194CC8"/>
    <w:rsid w:val="001C16A8"/>
    <w:rsid w:val="001D12EF"/>
    <w:rsid w:val="001E7CB2"/>
    <w:rsid w:val="002023F7"/>
    <w:rsid w:val="00204DE2"/>
    <w:rsid w:val="002323E4"/>
    <w:rsid w:val="00295081"/>
    <w:rsid w:val="002A484E"/>
    <w:rsid w:val="002B54EC"/>
    <w:rsid w:val="002F36EC"/>
    <w:rsid w:val="002F6DCE"/>
    <w:rsid w:val="00307568"/>
    <w:rsid w:val="00356B96"/>
    <w:rsid w:val="003C2488"/>
    <w:rsid w:val="0040124A"/>
    <w:rsid w:val="0043306D"/>
    <w:rsid w:val="004607F7"/>
    <w:rsid w:val="004827FF"/>
    <w:rsid w:val="004904B0"/>
    <w:rsid w:val="004B3FDB"/>
    <w:rsid w:val="00501F1A"/>
    <w:rsid w:val="0056106E"/>
    <w:rsid w:val="005E36E9"/>
    <w:rsid w:val="00661DD4"/>
    <w:rsid w:val="00696151"/>
    <w:rsid w:val="006B72FA"/>
    <w:rsid w:val="00722F15"/>
    <w:rsid w:val="00735C2D"/>
    <w:rsid w:val="00743263"/>
    <w:rsid w:val="007676B3"/>
    <w:rsid w:val="00770AA3"/>
    <w:rsid w:val="00792D21"/>
    <w:rsid w:val="007A4EF9"/>
    <w:rsid w:val="0084158D"/>
    <w:rsid w:val="008B0707"/>
    <w:rsid w:val="008B77EF"/>
    <w:rsid w:val="008D3D0F"/>
    <w:rsid w:val="008D55F5"/>
    <w:rsid w:val="00914353"/>
    <w:rsid w:val="0094280A"/>
    <w:rsid w:val="00951F44"/>
    <w:rsid w:val="009866F3"/>
    <w:rsid w:val="009B3DD9"/>
    <w:rsid w:val="009C3194"/>
    <w:rsid w:val="00A127D1"/>
    <w:rsid w:val="00A2526B"/>
    <w:rsid w:val="00B121E3"/>
    <w:rsid w:val="00B35371"/>
    <w:rsid w:val="00B45AEF"/>
    <w:rsid w:val="00B7304D"/>
    <w:rsid w:val="00BD11FD"/>
    <w:rsid w:val="00C6660A"/>
    <w:rsid w:val="00C66A0D"/>
    <w:rsid w:val="00CA5819"/>
    <w:rsid w:val="00CB0C08"/>
    <w:rsid w:val="00CD04D9"/>
    <w:rsid w:val="00CE4271"/>
    <w:rsid w:val="00DA0AB6"/>
    <w:rsid w:val="00DB4B00"/>
    <w:rsid w:val="00DD3758"/>
    <w:rsid w:val="00DD53A6"/>
    <w:rsid w:val="00DD62B9"/>
    <w:rsid w:val="00DE732D"/>
    <w:rsid w:val="00E41FB5"/>
    <w:rsid w:val="00E60782"/>
    <w:rsid w:val="00E65E1A"/>
    <w:rsid w:val="00E730BD"/>
    <w:rsid w:val="00E76737"/>
    <w:rsid w:val="00E77BEB"/>
    <w:rsid w:val="00E8581D"/>
    <w:rsid w:val="00E91021"/>
    <w:rsid w:val="00EA2F18"/>
    <w:rsid w:val="00EE6C74"/>
    <w:rsid w:val="00F051AF"/>
    <w:rsid w:val="00F76ECA"/>
    <w:rsid w:val="00FB7E8E"/>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A7CA5"/>
  <w15:docId w15:val="{04472938-92A5-4974-9A0F-28086286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rsid w:val="00E8581D"/>
    <w:rPr>
      <w:color w:val="0000FF" w:themeColor="hyperlink"/>
      <w:u w:val="single"/>
    </w:rPr>
  </w:style>
  <w:style w:type="paragraph" w:styleId="BalloonText">
    <w:name w:val="Balloon Text"/>
    <w:basedOn w:val="Normal"/>
    <w:link w:val="BalloonTextChar"/>
    <w:rsid w:val="00E76737"/>
    <w:rPr>
      <w:rFonts w:ascii="Tahoma" w:hAnsi="Tahoma" w:cs="Tahoma"/>
      <w:sz w:val="16"/>
      <w:szCs w:val="16"/>
    </w:rPr>
  </w:style>
  <w:style w:type="character" w:customStyle="1" w:styleId="BalloonTextChar">
    <w:name w:val="Balloon Text Char"/>
    <w:basedOn w:val="DefaultParagraphFont"/>
    <w:link w:val="BalloonText"/>
    <w:rsid w:val="00E76737"/>
    <w:rPr>
      <w:rFonts w:ascii="Tahoma" w:hAnsi="Tahoma" w:cs="Tahoma"/>
      <w:sz w:val="16"/>
      <w:szCs w:val="16"/>
    </w:rPr>
  </w:style>
  <w:style w:type="paragraph" w:styleId="ListParagraph">
    <w:name w:val="List Paragraph"/>
    <w:basedOn w:val="Normal"/>
    <w:uiPriority w:val="34"/>
    <w:qFormat/>
    <w:rsid w:val="00501F1A"/>
    <w:pPr>
      <w:ind w:left="720"/>
      <w:contextualSpacing/>
    </w:pPr>
  </w:style>
  <w:style w:type="character" w:styleId="FollowedHyperlink">
    <w:name w:val="FollowedHyperlink"/>
    <w:basedOn w:val="DefaultParagraphFont"/>
    <w:semiHidden/>
    <w:unhideWhenUsed/>
    <w:rsid w:val="004904B0"/>
    <w:rPr>
      <w:color w:val="800080" w:themeColor="followedHyperlink"/>
      <w:u w:val="single"/>
    </w:rPr>
  </w:style>
  <w:style w:type="table" w:styleId="TableGrid">
    <w:name w:val="Table Grid"/>
    <w:basedOn w:val="TableNormal"/>
    <w:rsid w:val="00C6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597">
      <w:bodyDiv w:val="1"/>
      <w:marLeft w:val="0"/>
      <w:marRight w:val="0"/>
      <w:marTop w:val="0"/>
      <w:marBottom w:val="0"/>
      <w:divBdr>
        <w:top w:val="none" w:sz="0" w:space="0" w:color="auto"/>
        <w:left w:val="none" w:sz="0" w:space="0" w:color="auto"/>
        <w:bottom w:val="none" w:sz="0" w:space="0" w:color="auto"/>
        <w:right w:val="none" w:sz="0" w:space="0" w:color="auto"/>
      </w:divBdr>
      <w:divsChild>
        <w:div w:id="966009443">
          <w:marLeft w:val="0"/>
          <w:marRight w:val="0"/>
          <w:marTop w:val="0"/>
          <w:marBottom w:val="0"/>
          <w:divBdr>
            <w:top w:val="none" w:sz="0" w:space="0" w:color="auto"/>
            <w:left w:val="none" w:sz="0" w:space="0" w:color="auto"/>
            <w:bottom w:val="none" w:sz="0" w:space="0" w:color="auto"/>
            <w:right w:val="none" w:sz="0" w:space="0" w:color="auto"/>
          </w:divBdr>
        </w:div>
        <w:div w:id="1143621257">
          <w:marLeft w:val="0"/>
          <w:marRight w:val="0"/>
          <w:marTop w:val="0"/>
          <w:marBottom w:val="0"/>
          <w:divBdr>
            <w:top w:val="none" w:sz="0" w:space="0" w:color="auto"/>
            <w:left w:val="none" w:sz="0" w:space="0" w:color="auto"/>
            <w:bottom w:val="none" w:sz="0" w:space="0" w:color="auto"/>
            <w:right w:val="none" w:sz="0" w:space="0" w:color="auto"/>
          </w:divBdr>
        </w:div>
        <w:div w:id="53043420">
          <w:marLeft w:val="0"/>
          <w:marRight w:val="0"/>
          <w:marTop w:val="0"/>
          <w:marBottom w:val="0"/>
          <w:divBdr>
            <w:top w:val="none" w:sz="0" w:space="0" w:color="auto"/>
            <w:left w:val="none" w:sz="0" w:space="0" w:color="auto"/>
            <w:bottom w:val="none" w:sz="0" w:space="0" w:color="auto"/>
            <w:right w:val="none" w:sz="0" w:space="0" w:color="auto"/>
          </w:divBdr>
        </w:div>
      </w:divsChild>
    </w:div>
    <w:div w:id="742484628">
      <w:bodyDiv w:val="1"/>
      <w:marLeft w:val="0"/>
      <w:marRight w:val="0"/>
      <w:marTop w:val="0"/>
      <w:marBottom w:val="0"/>
      <w:divBdr>
        <w:top w:val="none" w:sz="0" w:space="0" w:color="auto"/>
        <w:left w:val="none" w:sz="0" w:space="0" w:color="auto"/>
        <w:bottom w:val="none" w:sz="0" w:space="0" w:color="auto"/>
        <w:right w:val="none" w:sz="0" w:space="0" w:color="auto"/>
      </w:divBdr>
    </w:div>
    <w:div w:id="1007904799">
      <w:bodyDiv w:val="1"/>
      <w:marLeft w:val="0"/>
      <w:marRight w:val="0"/>
      <w:marTop w:val="0"/>
      <w:marBottom w:val="0"/>
      <w:divBdr>
        <w:top w:val="none" w:sz="0" w:space="0" w:color="auto"/>
        <w:left w:val="none" w:sz="0" w:space="0" w:color="auto"/>
        <w:bottom w:val="none" w:sz="0" w:space="0" w:color="auto"/>
        <w:right w:val="none" w:sz="0" w:space="0" w:color="auto"/>
      </w:divBdr>
      <w:divsChild>
        <w:div w:id="791947003">
          <w:marLeft w:val="0"/>
          <w:marRight w:val="0"/>
          <w:marTop w:val="0"/>
          <w:marBottom w:val="0"/>
          <w:divBdr>
            <w:top w:val="none" w:sz="0" w:space="0" w:color="auto"/>
            <w:left w:val="none" w:sz="0" w:space="0" w:color="auto"/>
            <w:bottom w:val="none" w:sz="0" w:space="0" w:color="auto"/>
            <w:right w:val="none" w:sz="0" w:space="0" w:color="auto"/>
          </w:divBdr>
        </w:div>
        <w:div w:id="116418205">
          <w:marLeft w:val="0"/>
          <w:marRight w:val="0"/>
          <w:marTop w:val="0"/>
          <w:marBottom w:val="0"/>
          <w:divBdr>
            <w:top w:val="none" w:sz="0" w:space="0" w:color="auto"/>
            <w:left w:val="none" w:sz="0" w:space="0" w:color="auto"/>
            <w:bottom w:val="none" w:sz="0" w:space="0" w:color="auto"/>
            <w:right w:val="none" w:sz="0" w:space="0" w:color="auto"/>
          </w:divBdr>
        </w:div>
        <w:div w:id="835606205">
          <w:marLeft w:val="0"/>
          <w:marRight w:val="0"/>
          <w:marTop w:val="0"/>
          <w:marBottom w:val="0"/>
          <w:divBdr>
            <w:top w:val="none" w:sz="0" w:space="0" w:color="auto"/>
            <w:left w:val="none" w:sz="0" w:space="0" w:color="auto"/>
            <w:bottom w:val="none" w:sz="0" w:space="0" w:color="auto"/>
            <w:right w:val="none" w:sz="0" w:space="0" w:color="auto"/>
          </w:divBdr>
        </w:div>
        <w:div w:id="1033271018">
          <w:marLeft w:val="0"/>
          <w:marRight w:val="0"/>
          <w:marTop w:val="0"/>
          <w:marBottom w:val="0"/>
          <w:divBdr>
            <w:top w:val="none" w:sz="0" w:space="0" w:color="auto"/>
            <w:left w:val="none" w:sz="0" w:space="0" w:color="auto"/>
            <w:bottom w:val="none" w:sz="0" w:space="0" w:color="auto"/>
            <w:right w:val="none" w:sz="0" w:space="0" w:color="auto"/>
          </w:divBdr>
        </w:div>
        <w:div w:id="359938922">
          <w:marLeft w:val="0"/>
          <w:marRight w:val="0"/>
          <w:marTop w:val="0"/>
          <w:marBottom w:val="0"/>
          <w:divBdr>
            <w:top w:val="none" w:sz="0" w:space="0" w:color="auto"/>
            <w:left w:val="none" w:sz="0" w:space="0" w:color="auto"/>
            <w:bottom w:val="none" w:sz="0" w:space="0" w:color="auto"/>
            <w:right w:val="none" w:sz="0" w:space="0" w:color="auto"/>
          </w:divBdr>
        </w:div>
        <w:div w:id="1268268499">
          <w:marLeft w:val="0"/>
          <w:marRight w:val="0"/>
          <w:marTop w:val="0"/>
          <w:marBottom w:val="0"/>
          <w:divBdr>
            <w:top w:val="none" w:sz="0" w:space="0" w:color="auto"/>
            <w:left w:val="none" w:sz="0" w:space="0" w:color="auto"/>
            <w:bottom w:val="none" w:sz="0" w:space="0" w:color="auto"/>
            <w:right w:val="none" w:sz="0" w:space="0" w:color="auto"/>
          </w:divBdr>
        </w:div>
        <w:div w:id="1076514712">
          <w:marLeft w:val="0"/>
          <w:marRight w:val="0"/>
          <w:marTop w:val="0"/>
          <w:marBottom w:val="0"/>
          <w:divBdr>
            <w:top w:val="none" w:sz="0" w:space="0" w:color="auto"/>
            <w:left w:val="none" w:sz="0" w:space="0" w:color="auto"/>
            <w:bottom w:val="none" w:sz="0" w:space="0" w:color="auto"/>
            <w:right w:val="none" w:sz="0" w:space="0" w:color="auto"/>
          </w:divBdr>
        </w:div>
        <w:div w:id="417948976">
          <w:marLeft w:val="0"/>
          <w:marRight w:val="0"/>
          <w:marTop w:val="0"/>
          <w:marBottom w:val="0"/>
          <w:divBdr>
            <w:top w:val="none" w:sz="0" w:space="0" w:color="auto"/>
            <w:left w:val="none" w:sz="0" w:space="0" w:color="auto"/>
            <w:bottom w:val="none" w:sz="0" w:space="0" w:color="auto"/>
            <w:right w:val="none" w:sz="0" w:space="0" w:color="auto"/>
          </w:divBdr>
        </w:div>
        <w:div w:id="2078549175">
          <w:marLeft w:val="0"/>
          <w:marRight w:val="0"/>
          <w:marTop w:val="0"/>
          <w:marBottom w:val="0"/>
          <w:divBdr>
            <w:top w:val="none" w:sz="0" w:space="0" w:color="auto"/>
            <w:left w:val="none" w:sz="0" w:space="0" w:color="auto"/>
            <w:bottom w:val="none" w:sz="0" w:space="0" w:color="auto"/>
            <w:right w:val="none" w:sz="0" w:space="0" w:color="auto"/>
          </w:divBdr>
        </w:div>
        <w:div w:id="392891824">
          <w:marLeft w:val="0"/>
          <w:marRight w:val="0"/>
          <w:marTop w:val="0"/>
          <w:marBottom w:val="0"/>
          <w:divBdr>
            <w:top w:val="none" w:sz="0" w:space="0" w:color="auto"/>
            <w:left w:val="none" w:sz="0" w:space="0" w:color="auto"/>
            <w:bottom w:val="none" w:sz="0" w:space="0" w:color="auto"/>
            <w:right w:val="none" w:sz="0" w:space="0" w:color="auto"/>
          </w:divBdr>
        </w:div>
        <w:div w:id="107920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hools.utah.gov/assessment/_assessment_/_testing_ethics_/24_TestingEthicsPolicyApprovedApril24.pdf"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e.siggard\Documents\Templates\Intradistrict%20-%20Yellow%20sch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C:\Users\roxane.siggard\Documents\Templates\Intradistrict - Yellow schools.dot</Template>
  <TotalTime>1</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JORDAN SCHOOL DISTRICT</vt:lpstr>
    </vt:vector>
  </TitlesOfParts>
  <Company>Jordan School District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SCHOOL DISTRICT</dc:title>
  <dc:creator>Roxane Siggard</dc:creator>
  <cp:lastModifiedBy>Ben Jameson</cp:lastModifiedBy>
  <cp:revision>3</cp:revision>
  <cp:lastPrinted>2003-10-27T19:27:00Z</cp:lastPrinted>
  <dcterms:created xsi:type="dcterms:W3CDTF">2026-03-10T21:45:00Z</dcterms:created>
  <dcterms:modified xsi:type="dcterms:W3CDTF">2026-03-10T21:47:00Z</dcterms:modified>
</cp:coreProperties>
</file>