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6E" w:rsidRDefault="00A9336E" w:rsidP="00A9336E">
      <w:pPr>
        <w:pStyle w:val="NoSpacing"/>
      </w:pPr>
      <w:r>
        <w:t>This grant is for math software for use in kindergarten through twelfth grade. Public schools receiving awards through this grant will receive the math software for one (1) academic year (2016-17). The STEM AC understands that each LEA will deploy this math technology grant differently. Please use the process set in place by your district or charter. This application is for all district schools; this application can only be prepared by the district office. Individual public schools cannot apply for the software; it must be a district application.</w:t>
      </w:r>
    </w:p>
    <w:p w:rsidR="00A9336E" w:rsidRDefault="00A9336E" w:rsidP="00A9336E">
      <w:pPr>
        <w:pStyle w:val="NoSpacing"/>
      </w:pPr>
    </w:p>
    <w:p w:rsidR="00A9336E" w:rsidRDefault="00A9336E" w:rsidP="00A9336E">
      <w:pPr>
        <w:pStyle w:val="NoSpacing"/>
        <w:rPr>
          <w:b/>
        </w:rPr>
      </w:pPr>
      <w:r w:rsidRPr="00A9336E">
        <w:rPr>
          <w:b/>
        </w:rPr>
        <w:t>There are 6 product providers that you may choose from:</w:t>
      </w:r>
    </w:p>
    <w:p w:rsidR="00A9336E" w:rsidRPr="00A9336E" w:rsidRDefault="00A9336E" w:rsidP="00A9336E">
      <w:pPr>
        <w:pStyle w:val="NoSpacing"/>
        <w:rPr>
          <w:b/>
        </w:rPr>
      </w:pPr>
    </w:p>
    <w:tbl>
      <w:tblPr>
        <w:tblStyle w:val="TableGrid"/>
        <w:tblW w:w="0" w:type="auto"/>
        <w:tblLook w:val="04A0" w:firstRow="1" w:lastRow="0" w:firstColumn="1" w:lastColumn="0" w:noHBand="0" w:noVBand="1"/>
      </w:tblPr>
      <w:tblGrid>
        <w:gridCol w:w="2337"/>
        <w:gridCol w:w="2337"/>
        <w:gridCol w:w="2338"/>
        <w:gridCol w:w="2338"/>
      </w:tblGrid>
      <w:tr w:rsidR="00A9336E" w:rsidTr="00A9336E">
        <w:tc>
          <w:tcPr>
            <w:tcW w:w="2337" w:type="dxa"/>
          </w:tcPr>
          <w:p w:rsidR="00A9336E" w:rsidRPr="00A9336E" w:rsidRDefault="00A9336E" w:rsidP="00A9336E">
            <w:pPr>
              <w:pStyle w:val="NoSpacing"/>
              <w:jc w:val="center"/>
              <w:rPr>
                <w:b/>
              </w:rPr>
            </w:pPr>
            <w:r w:rsidRPr="00A9336E">
              <w:rPr>
                <w:b/>
              </w:rPr>
              <w:t>Provider</w:t>
            </w:r>
          </w:p>
        </w:tc>
        <w:tc>
          <w:tcPr>
            <w:tcW w:w="2337" w:type="dxa"/>
          </w:tcPr>
          <w:p w:rsidR="00A9336E" w:rsidRPr="00A9336E" w:rsidRDefault="00A9336E" w:rsidP="00A9336E">
            <w:pPr>
              <w:pStyle w:val="NoSpacing"/>
              <w:jc w:val="center"/>
              <w:rPr>
                <w:b/>
              </w:rPr>
            </w:pPr>
            <w:r w:rsidRPr="00A9336E">
              <w:rPr>
                <w:b/>
              </w:rPr>
              <w:t>Software</w:t>
            </w:r>
          </w:p>
        </w:tc>
        <w:tc>
          <w:tcPr>
            <w:tcW w:w="2338" w:type="dxa"/>
          </w:tcPr>
          <w:p w:rsidR="00A9336E" w:rsidRPr="00A9336E" w:rsidRDefault="00A9336E" w:rsidP="00A9336E">
            <w:pPr>
              <w:pStyle w:val="NoSpacing"/>
              <w:jc w:val="center"/>
              <w:rPr>
                <w:b/>
              </w:rPr>
            </w:pPr>
            <w:r w:rsidRPr="00A9336E">
              <w:rPr>
                <w:b/>
              </w:rPr>
              <w:t>Supported Grades</w:t>
            </w:r>
          </w:p>
        </w:tc>
        <w:tc>
          <w:tcPr>
            <w:tcW w:w="2338" w:type="dxa"/>
          </w:tcPr>
          <w:p w:rsidR="00A9336E" w:rsidRPr="00A9336E" w:rsidRDefault="00A9336E" w:rsidP="00A9336E">
            <w:pPr>
              <w:pStyle w:val="NoSpacing"/>
              <w:jc w:val="center"/>
              <w:rPr>
                <w:b/>
              </w:rPr>
            </w:pPr>
            <w:r w:rsidRPr="00A9336E">
              <w:rPr>
                <w:b/>
              </w:rPr>
              <w:t>Fidelity Measure</w:t>
            </w:r>
          </w:p>
        </w:tc>
      </w:tr>
      <w:tr w:rsidR="00A9336E" w:rsidTr="00A9336E">
        <w:tc>
          <w:tcPr>
            <w:tcW w:w="2337" w:type="dxa"/>
          </w:tcPr>
          <w:p w:rsidR="00A9336E" w:rsidRDefault="00A9336E" w:rsidP="00A9336E">
            <w:pPr>
              <w:pStyle w:val="NoSpacing"/>
              <w:jc w:val="center"/>
            </w:pPr>
            <w:r>
              <w:t>Ascend Education</w:t>
            </w:r>
          </w:p>
        </w:tc>
        <w:tc>
          <w:tcPr>
            <w:tcW w:w="2337" w:type="dxa"/>
          </w:tcPr>
          <w:p w:rsidR="00A9336E" w:rsidRDefault="00A9336E" w:rsidP="00A9336E">
            <w:pPr>
              <w:pStyle w:val="NoSpacing"/>
              <w:jc w:val="center"/>
            </w:pPr>
            <w:r>
              <w:t>Ascend Math</w:t>
            </w:r>
          </w:p>
        </w:tc>
        <w:tc>
          <w:tcPr>
            <w:tcW w:w="2338" w:type="dxa"/>
          </w:tcPr>
          <w:p w:rsidR="00A9336E" w:rsidRDefault="00A9336E" w:rsidP="00A9336E">
            <w:pPr>
              <w:pStyle w:val="NoSpacing"/>
              <w:jc w:val="center"/>
            </w:pPr>
            <w:r>
              <w:t>K-12; including Secondary 1, 2, 3 Courses</w:t>
            </w:r>
          </w:p>
        </w:tc>
        <w:tc>
          <w:tcPr>
            <w:tcW w:w="2338" w:type="dxa"/>
          </w:tcPr>
          <w:p w:rsidR="00A9336E" w:rsidRDefault="00A9336E" w:rsidP="00A9336E">
            <w:pPr>
              <w:pStyle w:val="NoSpacing"/>
            </w:pPr>
            <w:r>
              <w:t>K-2: 30 mins per week</w:t>
            </w:r>
          </w:p>
          <w:p w:rsidR="00A9336E" w:rsidRDefault="00A9336E" w:rsidP="00A9336E">
            <w:pPr>
              <w:pStyle w:val="NoSpacing"/>
            </w:pPr>
            <w:r>
              <w:t>3-6: 45 mins per week</w:t>
            </w:r>
          </w:p>
          <w:p w:rsidR="00A9336E" w:rsidRDefault="00A9336E" w:rsidP="00A9336E">
            <w:pPr>
              <w:pStyle w:val="NoSpacing"/>
            </w:pPr>
            <w:r>
              <w:t>7-12: 90 mins per week</w:t>
            </w:r>
          </w:p>
        </w:tc>
      </w:tr>
      <w:tr w:rsidR="00A9336E" w:rsidTr="00A9336E">
        <w:tc>
          <w:tcPr>
            <w:tcW w:w="2337" w:type="dxa"/>
            <w:vMerge w:val="restart"/>
            <w:vAlign w:val="center"/>
          </w:tcPr>
          <w:p w:rsidR="00A9336E" w:rsidRDefault="00A9336E" w:rsidP="00A9336E">
            <w:pPr>
              <w:pStyle w:val="NoSpacing"/>
              <w:jc w:val="center"/>
            </w:pPr>
            <w:r>
              <w:t>Carnegie Learning</w:t>
            </w:r>
          </w:p>
        </w:tc>
        <w:tc>
          <w:tcPr>
            <w:tcW w:w="2337" w:type="dxa"/>
          </w:tcPr>
          <w:p w:rsidR="00A9336E" w:rsidRDefault="00A9336E" w:rsidP="00A9336E">
            <w:pPr>
              <w:pStyle w:val="NoSpacing"/>
              <w:jc w:val="center"/>
            </w:pPr>
            <w:r>
              <w:t>MathiaX</w:t>
            </w:r>
          </w:p>
        </w:tc>
        <w:tc>
          <w:tcPr>
            <w:tcW w:w="2338" w:type="dxa"/>
          </w:tcPr>
          <w:p w:rsidR="00A9336E" w:rsidRDefault="00A9336E" w:rsidP="00A9336E">
            <w:pPr>
              <w:pStyle w:val="NoSpacing"/>
              <w:jc w:val="center"/>
            </w:pPr>
            <w:r>
              <w:t>6-8</w:t>
            </w:r>
          </w:p>
        </w:tc>
        <w:tc>
          <w:tcPr>
            <w:tcW w:w="2338" w:type="dxa"/>
          </w:tcPr>
          <w:p w:rsidR="00A9336E" w:rsidRDefault="00A9336E" w:rsidP="00A9336E">
            <w:pPr>
              <w:pStyle w:val="NoSpacing"/>
            </w:pPr>
            <w:r>
              <w:t>90 mins per week</w:t>
            </w:r>
          </w:p>
        </w:tc>
      </w:tr>
      <w:tr w:rsidR="00A9336E" w:rsidTr="00A9336E">
        <w:tc>
          <w:tcPr>
            <w:tcW w:w="2337" w:type="dxa"/>
            <w:vMerge/>
          </w:tcPr>
          <w:p w:rsidR="00A9336E" w:rsidRDefault="00A9336E" w:rsidP="00A9336E">
            <w:pPr>
              <w:pStyle w:val="NoSpacing"/>
              <w:jc w:val="center"/>
            </w:pPr>
          </w:p>
        </w:tc>
        <w:tc>
          <w:tcPr>
            <w:tcW w:w="2337" w:type="dxa"/>
          </w:tcPr>
          <w:p w:rsidR="00A9336E" w:rsidRDefault="00A9336E" w:rsidP="00A9336E">
            <w:pPr>
              <w:pStyle w:val="NoSpacing"/>
              <w:jc w:val="center"/>
            </w:pPr>
            <w:r>
              <w:t>Cognitive Tutor</w:t>
            </w:r>
          </w:p>
        </w:tc>
        <w:tc>
          <w:tcPr>
            <w:tcW w:w="2338" w:type="dxa"/>
          </w:tcPr>
          <w:p w:rsidR="00A9336E" w:rsidRDefault="00A9336E" w:rsidP="00A9336E">
            <w:pPr>
              <w:pStyle w:val="NoSpacing"/>
              <w:jc w:val="center"/>
            </w:pPr>
            <w:r>
              <w:t>9-12</w:t>
            </w:r>
          </w:p>
        </w:tc>
        <w:tc>
          <w:tcPr>
            <w:tcW w:w="2338" w:type="dxa"/>
          </w:tcPr>
          <w:p w:rsidR="00A9336E" w:rsidRDefault="00A9336E" w:rsidP="00A9336E">
            <w:pPr>
              <w:pStyle w:val="NoSpacing"/>
            </w:pPr>
            <w:r>
              <w:t>90 mins per week</w:t>
            </w:r>
          </w:p>
        </w:tc>
      </w:tr>
      <w:tr w:rsidR="00A9336E" w:rsidTr="00A9336E">
        <w:tc>
          <w:tcPr>
            <w:tcW w:w="2337" w:type="dxa"/>
            <w:vMerge/>
          </w:tcPr>
          <w:p w:rsidR="00A9336E" w:rsidRDefault="00A9336E" w:rsidP="00A9336E">
            <w:pPr>
              <w:pStyle w:val="NoSpacing"/>
              <w:jc w:val="center"/>
            </w:pPr>
          </w:p>
        </w:tc>
        <w:tc>
          <w:tcPr>
            <w:tcW w:w="2337" w:type="dxa"/>
          </w:tcPr>
          <w:p w:rsidR="00A9336E" w:rsidRDefault="00A9336E" w:rsidP="00A9336E">
            <w:pPr>
              <w:pStyle w:val="NoSpacing"/>
              <w:jc w:val="center"/>
            </w:pPr>
            <w:r>
              <w:t>Bundle MathiaX and Cognitive Tutor</w:t>
            </w:r>
          </w:p>
        </w:tc>
        <w:tc>
          <w:tcPr>
            <w:tcW w:w="2338" w:type="dxa"/>
            <w:vAlign w:val="center"/>
          </w:tcPr>
          <w:p w:rsidR="00A9336E" w:rsidRDefault="00A9336E" w:rsidP="00A9336E">
            <w:pPr>
              <w:pStyle w:val="NoSpacing"/>
              <w:jc w:val="center"/>
            </w:pPr>
            <w:r>
              <w:t>6-12</w:t>
            </w:r>
          </w:p>
        </w:tc>
        <w:tc>
          <w:tcPr>
            <w:tcW w:w="2338" w:type="dxa"/>
            <w:vAlign w:val="center"/>
          </w:tcPr>
          <w:p w:rsidR="00A9336E" w:rsidRDefault="00A9336E" w:rsidP="00A9336E">
            <w:pPr>
              <w:pStyle w:val="NoSpacing"/>
            </w:pPr>
            <w:r>
              <w:t>90 mins per week</w:t>
            </w:r>
          </w:p>
        </w:tc>
      </w:tr>
      <w:tr w:rsidR="00A9336E" w:rsidTr="00A9336E">
        <w:tc>
          <w:tcPr>
            <w:tcW w:w="2337" w:type="dxa"/>
            <w:vAlign w:val="center"/>
          </w:tcPr>
          <w:p w:rsidR="00A9336E" w:rsidRDefault="00A9336E" w:rsidP="00A9336E">
            <w:pPr>
              <w:pStyle w:val="NoSpacing"/>
              <w:jc w:val="center"/>
            </w:pPr>
            <w:r>
              <w:t>Curriculum Associates</w:t>
            </w:r>
          </w:p>
        </w:tc>
        <w:tc>
          <w:tcPr>
            <w:tcW w:w="2337" w:type="dxa"/>
            <w:vAlign w:val="center"/>
          </w:tcPr>
          <w:p w:rsidR="00A9336E" w:rsidRDefault="00A9336E" w:rsidP="00A9336E">
            <w:pPr>
              <w:pStyle w:val="NoSpacing"/>
              <w:jc w:val="center"/>
            </w:pPr>
            <w:r>
              <w:t>iReady</w:t>
            </w:r>
          </w:p>
        </w:tc>
        <w:tc>
          <w:tcPr>
            <w:tcW w:w="2338" w:type="dxa"/>
            <w:vAlign w:val="center"/>
          </w:tcPr>
          <w:p w:rsidR="00A9336E" w:rsidRDefault="00A9336E" w:rsidP="00A9336E">
            <w:pPr>
              <w:pStyle w:val="NoSpacing"/>
              <w:jc w:val="center"/>
            </w:pPr>
            <w:r>
              <w:t>K-8</w:t>
            </w:r>
          </w:p>
        </w:tc>
        <w:tc>
          <w:tcPr>
            <w:tcW w:w="2338" w:type="dxa"/>
          </w:tcPr>
          <w:p w:rsidR="00A9336E" w:rsidRDefault="00A9336E" w:rsidP="00A9336E">
            <w:pPr>
              <w:pStyle w:val="NoSpacing"/>
            </w:pPr>
            <w:r>
              <w:t>45 mins per week</w:t>
            </w:r>
          </w:p>
        </w:tc>
      </w:tr>
      <w:tr w:rsidR="00A9336E" w:rsidTr="00A9336E">
        <w:tc>
          <w:tcPr>
            <w:tcW w:w="2337" w:type="dxa"/>
            <w:vAlign w:val="center"/>
          </w:tcPr>
          <w:p w:rsidR="00A9336E" w:rsidRDefault="00A9336E" w:rsidP="00A9336E">
            <w:pPr>
              <w:pStyle w:val="NoSpacing"/>
              <w:jc w:val="center"/>
            </w:pPr>
            <w:r>
              <w:t>McGraw-Hill</w:t>
            </w:r>
          </w:p>
        </w:tc>
        <w:tc>
          <w:tcPr>
            <w:tcW w:w="2337" w:type="dxa"/>
            <w:vAlign w:val="center"/>
          </w:tcPr>
          <w:p w:rsidR="00A9336E" w:rsidRDefault="00A9336E" w:rsidP="00A9336E">
            <w:pPr>
              <w:pStyle w:val="NoSpacing"/>
              <w:jc w:val="center"/>
            </w:pPr>
            <w:r>
              <w:t>ALEKS</w:t>
            </w:r>
          </w:p>
        </w:tc>
        <w:tc>
          <w:tcPr>
            <w:tcW w:w="2338" w:type="dxa"/>
            <w:vAlign w:val="center"/>
          </w:tcPr>
          <w:p w:rsidR="00A9336E" w:rsidRDefault="00A9336E" w:rsidP="00A9336E">
            <w:pPr>
              <w:pStyle w:val="NoSpacing"/>
              <w:jc w:val="center"/>
            </w:pPr>
            <w:r>
              <w:t>3-12</w:t>
            </w:r>
          </w:p>
        </w:tc>
        <w:tc>
          <w:tcPr>
            <w:tcW w:w="2338" w:type="dxa"/>
          </w:tcPr>
          <w:p w:rsidR="00A9336E" w:rsidRDefault="00A9336E" w:rsidP="00A9336E">
            <w:pPr>
              <w:pStyle w:val="NoSpacing"/>
            </w:pPr>
            <w:r>
              <w:t>1 hour per week or learning 5 topics per week</w:t>
            </w:r>
          </w:p>
        </w:tc>
      </w:tr>
      <w:tr w:rsidR="00A9336E" w:rsidTr="00A9336E">
        <w:tc>
          <w:tcPr>
            <w:tcW w:w="2337" w:type="dxa"/>
            <w:vAlign w:val="center"/>
          </w:tcPr>
          <w:p w:rsidR="00A9336E" w:rsidRDefault="00A9336E" w:rsidP="00A9336E">
            <w:pPr>
              <w:pStyle w:val="NoSpacing"/>
              <w:jc w:val="center"/>
            </w:pPr>
            <w:r>
              <w:t>Mind Research Institute</w:t>
            </w:r>
          </w:p>
        </w:tc>
        <w:tc>
          <w:tcPr>
            <w:tcW w:w="2337" w:type="dxa"/>
            <w:vAlign w:val="center"/>
          </w:tcPr>
          <w:p w:rsidR="00A9336E" w:rsidRDefault="00A9336E" w:rsidP="00A9336E">
            <w:pPr>
              <w:pStyle w:val="NoSpacing"/>
              <w:jc w:val="center"/>
            </w:pPr>
            <w:r>
              <w:t>ST Math</w:t>
            </w:r>
          </w:p>
        </w:tc>
        <w:tc>
          <w:tcPr>
            <w:tcW w:w="2338" w:type="dxa"/>
            <w:vAlign w:val="center"/>
          </w:tcPr>
          <w:p w:rsidR="00A9336E" w:rsidRDefault="00A9336E" w:rsidP="00A9336E">
            <w:pPr>
              <w:pStyle w:val="NoSpacing"/>
              <w:jc w:val="center"/>
            </w:pPr>
            <w:r>
              <w:t>K-12</w:t>
            </w:r>
          </w:p>
        </w:tc>
        <w:tc>
          <w:tcPr>
            <w:tcW w:w="2338" w:type="dxa"/>
          </w:tcPr>
          <w:p w:rsidR="00A9336E" w:rsidRDefault="00A9336E" w:rsidP="00A9336E">
            <w:pPr>
              <w:pStyle w:val="NoSpacing"/>
            </w:pPr>
            <w:r>
              <w:t>K-1: 60 mins per week</w:t>
            </w:r>
          </w:p>
          <w:p w:rsidR="00A9336E" w:rsidRDefault="00A9336E" w:rsidP="00A9336E">
            <w:pPr>
              <w:pStyle w:val="NoSpacing"/>
            </w:pPr>
            <w:r>
              <w:t>2-8: 90 mins per week</w:t>
            </w:r>
          </w:p>
        </w:tc>
      </w:tr>
      <w:tr w:rsidR="00A9336E" w:rsidTr="00A9336E">
        <w:tc>
          <w:tcPr>
            <w:tcW w:w="2337" w:type="dxa"/>
            <w:vAlign w:val="center"/>
          </w:tcPr>
          <w:p w:rsidR="00A9336E" w:rsidRDefault="00A9336E" w:rsidP="00A9336E">
            <w:pPr>
              <w:pStyle w:val="NoSpacing"/>
              <w:jc w:val="center"/>
            </w:pPr>
            <w:r>
              <w:t>Think Through Math</w:t>
            </w:r>
          </w:p>
        </w:tc>
        <w:tc>
          <w:tcPr>
            <w:tcW w:w="2337" w:type="dxa"/>
            <w:vAlign w:val="center"/>
          </w:tcPr>
          <w:p w:rsidR="00A9336E" w:rsidRDefault="00A9336E" w:rsidP="00A9336E">
            <w:pPr>
              <w:pStyle w:val="NoSpacing"/>
              <w:jc w:val="center"/>
            </w:pPr>
            <w:r>
              <w:t>Think Through Math</w:t>
            </w:r>
          </w:p>
        </w:tc>
        <w:tc>
          <w:tcPr>
            <w:tcW w:w="2338" w:type="dxa"/>
            <w:vAlign w:val="center"/>
          </w:tcPr>
          <w:p w:rsidR="00A9336E" w:rsidRDefault="00241286" w:rsidP="00A9336E">
            <w:pPr>
              <w:pStyle w:val="NoSpacing"/>
              <w:jc w:val="center"/>
            </w:pPr>
            <w:r>
              <w:t>3-8; Algeb</w:t>
            </w:r>
            <w:r w:rsidR="00A9336E">
              <w:t>r</w:t>
            </w:r>
            <w:r>
              <w:t>a</w:t>
            </w:r>
            <w:r w:rsidR="00A9336E">
              <w:t xml:space="preserve"> 1, Geometry</w:t>
            </w:r>
          </w:p>
        </w:tc>
        <w:tc>
          <w:tcPr>
            <w:tcW w:w="2338" w:type="dxa"/>
          </w:tcPr>
          <w:p w:rsidR="00A9336E" w:rsidRDefault="00A9336E" w:rsidP="00A9336E">
            <w:pPr>
              <w:pStyle w:val="NoSpacing"/>
            </w:pPr>
            <w:r>
              <w:t>Quarter 1 (</w:t>
            </w:r>
            <w:proofErr w:type="spellStart"/>
            <w:r>
              <w:t>Spet</w:t>
            </w:r>
            <w:proofErr w:type="spellEnd"/>
            <w:r>
              <w:t>-Nov 2016): 5+ lessons completed</w:t>
            </w:r>
          </w:p>
          <w:p w:rsidR="00A9336E" w:rsidRDefault="00A9336E" w:rsidP="00A9336E">
            <w:pPr>
              <w:pStyle w:val="NoSpacing"/>
            </w:pPr>
            <w:r>
              <w:t>Quarter 2 (Dec-Feb 2017): 10+ lessons completed</w:t>
            </w:r>
          </w:p>
          <w:p w:rsidR="00A9336E" w:rsidRDefault="00A9336E" w:rsidP="00A9336E">
            <w:pPr>
              <w:pStyle w:val="NoSpacing"/>
            </w:pPr>
            <w:r>
              <w:t>Quarter 3 (Mar-May 2017): 15+ lessons completed</w:t>
            </w:r>
          </w:p>
        </w:tc>
      </w:tr>
    </w:tbl>
    <w:p w:rsidR="00F36E0C" w:rsidRDefault="00F36E0C" w:rsidP="00A9336E">
      <w:pPr>
        <w:pStyle w:val="NoSpacing"/>
      </w:pPr>
    </w:p>
    <w:p w:rsidR="00241286" w:rsidRDefault="00A9336E" w:rsidP="00A9336E">
      <w:pPr>
        <w:pStyle w:val="NoSpacing"/>
      </w:pPr>
      <w:r>
        <w:t>Length of Agreement and Usage of the Product</w:t>
      </w:r>
    </w:p>
    <w:p w:rsidR="00241286" w:rsidRDefault="00241286" w:rsidP="00A9336E">
      <w:pPr>
        <w:pStyle w:val="NoSpacing"/>
      </w:pPr>
    </w:p>
    <w:p w:rsidR="00A9336E" w:rsidRDefault="00A9336E" w:rsidP="00A9336E">
      <w:pPr>
        <w:pStyle w:val="NoSpacing"/>
      </w:pPr>
      <w:r>
        <w:t xml:space="preserve">This agreement will last for one fiscal year, with the potential for re-applying annually, contingent on continued funding from the Utah State Legislature and contingent upon the LEA meeting the expectations of the grant (usage with fidelity, completion of surveys, providing student SSIDs etc.) The State of Utah and the STEM AC reserves the right to review agreement(s) on a regular basis regarding </w:t>
      </w:r>
      <w:proofErr w:type="gramStart"/>
      <w:r>
        <w:t>an</w:t>
      </w:r>
      <w:proofErr w:type="gramEnd"/>
      <w:r>
        <w:t xml:space="preserve"> LEAs overall performance and usage of the </w:t>
      </w:r>
      <w:r>
        <w:lastRenderedPageBreak/>
        <w:t xml:space="preserve">product. If the product(s) are not being utilized within the first 60 days of the academic year, the awarded licenses will be re-distributed to those who seek additional </w:t>
      </w:r>
      <w:proofErr w:type="spellStart"/>
      <w:r>
        <w:t>licenses.Each</w:t>
      </w:r>
      <w:proofErr w:type="spellEnd"/>
      <w:r>
        <w:t xml:space="preserve"> LEA who receives a grant must utilize the software with fidelity to be a part of this grant on a continual basis. For the purposes of this program, fidelity is defined as using a given product at a specified level of use. Each vendor specifies this level as listed in the table</w:t>
      </w:r>
      <w:r w:rsidR="00241286">
        <w:t xml:space="preserve"> in section 2B (located above).</w:t>
      </w:r>
      <w:bookmarkStart w:id="0" w:name="_GoBack"/>
      <w:bookmarkEnd w:id="0"/>
    </w:p>
    <w:p w:rsidR="00A9336E" w:rsidRDefault="00A9336E" w:rsidP="00A9336E">
      <w:pPr>
        <w:pStyle w:val="NoSpacing"/>
      </w:pPr>
    </w:p>
    <w:p w:rsidR="00A9336E" w:rsidRDefault="00A9336E" w:rsidP="00A9336E">
      <w:pPr>
        <w:pStyle w:val="NoSpacing"/>
      </w:pPr>
      <w:proofErr w:type="spellStart"/>
      <w:r>
        <w:t>EvaluationThe</w:t>
      </w:r>
      <w:proofErr w:type="spellEnd"/>
      <w:r>
        <w:t xml:space="preserve"> grant program evaluation will be conducted by Utah State University faculty, specifically Dr. Louis </w:t>
      </w:r>
      <w:proofErr w:type="spellStart"/>
      <w:r>
        <w:t>Nadelson</w:t>
      </w:r>
      <w:proofErr w:type="spellEnd"/>
      <w:r>
        <w:t>. Below you will find important information regarding this grant:</w:t>
      </w:r>
    </w:p>
    <w:p w:rsidR="00A9336E" w:rsidRDefault="00A9336E" w:rsidP="00A9336E">
      <w:pPr>
        <w:pStyle w:val="NoSpacing"/>
      </w:pPr>
    </w:p>
    <w:p w:rsidR="00A9336E" w:rsidRDefault="00A9336E" w:rsidP="00A9336E">
      <w:pPr>
        <w:pStyle w:val="NoSpacing"/>
      </w:pPr>
      <w:r>
        <w:t>1. The evaluation will be primarily looking at student mathematics achievement on the end of year state assessment.</w:t>
      </w:r>
    </w:p>
    <w:p w:rsidR="00A9336E" w:rsidRDefault="00A9336E" w:rsidP="00A9336E">
      <w:pPr>
        <w:pStyle w:val="NoSpacing"/>
      </w:pPr>
    </w:p>
    <w:p w:rsidR="00A9336E" w:rsidRDefault="00A9336E" w:rsidP="00A9336E">
      <w:pPr>
        <w:pStyle w:val="NoSpacing"/>
      </w:pPr>
      <w:r>
        <w:t>2. You will be required to have your students complete an initial (pre-) and end (post-) of year</w:t>
      </w:r>
      <w:r w:rsidR="00C1545D">
        <w:t xml:space="preserve"> </w:t>
      </w:r>
      <w:r>
        <w:t>survey that targets math interest (completed online) as part of the evaluation.</w:t>
      </w:r>
    </w:p>
    <w:p w:rsidR="00C1545D" w:rsidRDefault="00C1545D" w:rsidP="00A9336E">
      <w:pPr>
        <w:pStyle w:val="NoSpacing"/>
      </w:pPr>
    </w:p>
    <w:p w:rsidR="00C1545D" w:rsidRDefault="00C1545D" w:rsidP="00C1545D">
      <w:pPr>
        <w:pStyle w:val="NoSpacing"/>
      </w:pPr>
      <w:r>
        <w:t>3. Your teachers using the products will be required to complete a survey of their satisfaction with the product at the beginning and end of the school year.</w:t>
      </w:r>
    </w:p>
    <w:p w:rsidR="00C1545D" w:rsidRDefault="00C1545D" w:rsidP="00C1545D">
      <w:pPr>
        <w:pStyle w:val="NoSpacing"/>
      </w:pPr>
    </w:p>
    <w:p w:rsidR="00C1545D" w:rsidRDefault="00C1545D" w:rsidP="00C1545D">
      <w:pPr>
        <w:pStyle w:val="NoSpacing"/>
      </w:pPr>
      <w:r>
        <w:t>4. Districts will be required to provide state student identifiers (SSID’s) for all students using licenses awarded by this grant. State assessment data and demographic data for students using the products will be collected using these SSID’s through an agreement with the Utah State Office of Education and the STEM Action Center so as not to burden schools with collection of this information.</w:t>
      </w:r>
    </w:p>
    <w:p w:rsidR="00C1545D" w:rsidRDefault="00C1545D" w:rsidP="00C1545D">
      <w:pPr>
        <w:pStyle w:val="NoSpacing"/>
      </w:pPr>
    </w:p>
    <w:p w:rsidR="00C1545D" w:rsidRDefault="00C1545D" w:rsidP="00C1545D">
      <w:pPr>
        <w:pStyle w:val="NoSpacing"/>
      </w:pPr>
      <w:r>
        <w:t xml:space="preserve">5. Districts will establish a single point of contact for collecting data from those using the products in the schools, and compile and upload the data to the data upload secure portal (https://utstem.usu.edu). Districts will also use the template provided by the evaluator to organize and submit their data. </w:t>
      </w:r>
    </w:p>
    <w:p w:rsidR="00C1545D" w:rsidRDefault="00C1545D" w:rsidP="00C1545D">
      <w:pPr>
        <w:pStyle w:val="NoSpacing"/>
      </w:pPr>
    </w:p>
    <w:p w:rsidR="00C1545D" w:rsidRDefault="00C1545D" w:rsidP="00C1545D">
      <w:pPr>
        <w:pStyle w:val="NoSpacing"/>
      </w:pPr>
      <w:r>
        <w:t>6. You will be required to send parents a letter of information (this letter will be provided by the</w:t>
      </w:r>
    </w:p>
    <w:p w:rsidR="00C1545D" w:rsidRDefault="00C1545D" w:rsidP="00C1545D">
      <w:pPr>
        <w:pStyle w:val="NoSpacing"/>
      </w:pPr>
      <w:r>
        <w:t>STEM AC) that will allow them the opportunity to decline having their child’s data collected as part of this evaluation.</w:t>
      </w:r>
    </w:p>
    <w:sectPr w:rsidR="00C1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6E"/>
    <w:rsid w:val="00241286"/>
    <w:rsid w:val="004C1FB3"/>
    <w:rsid w:val="00960467"/>
    <w:rsid w:val="00A9336E"/>
    <w:rsid w:val="00C1545D"/>
    <w:rsid w:val="00C34CD6"/>
    <w:rsid w:val="00E3714B"/>
    <w:rsid w:val="00E77CE4"/>
    <w:rsid w:val="00F3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2029D-2ED0-4376-8D11-54C2629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36E"/>
    <w:pPr>
      <w:spacing w:after="0" w:line="240" w:lineRule="auto"/>
    </w:pPr>
  </w:style>
  <w:style w:type="table" w:styleId="TableGrid">
    <w:name w:val="Table Grid"/>
    <w:basedOn w:val="TableNormal"/>
    <w:uiPriority w:val="39"/>
    <w:rsid w:val="00A9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Harmon</dc:creator>
  <cp:keywords/>
  <dc:description/>
  <cp:lastModifiedBy>Wendy Harmon</cp:lastModifiedBy>
  <cp:revision>2</cp:revision>
  <dcterms:created xsi:type="dcterms:W3CDTF">2016-05-24T02:34:00Z</dcterms:created>
  <dcterms:modified xsi:type="dcterms:W3CDTF">2016-05-24T14:31:00Z</dcterms:modified>
</cp:coreProperties>
</file>