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002">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after="160" w:line="256.799454545454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Dear Parent/Guardian,</w:t>
      </w:r>
    </w:p>
    <w:p w:rsidR="00000000" w:rsidDel="00000000" w:rsidP="00000000" w:rsidRDefault="00000000" w:rsidRPr="00000000" w14:paraId="00000004">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Jordan School District is dedicated to the success of every student and appreciates working with you as a partner in this endeavor.  In reading, we use a variety of common assessments to identify individual needs and monitor progress.</w:t>
      </w:r>
    </w:p>
    <w:p w:rsidR="00000000" w:rsidDel="00000000" w:rsidP="00000000" w:rsidRDefault="00000000" w:rsidRPr="00000000" w14:paraId="00000005">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Utah State Senate Bill 150 requires schools to assess students three times per school year (fall, winter, &amp; spring) and inform first, second, and third grade parents/guardians of whether or not their child is reading on grade level.</w:t>
      </w:r>
    </w:p>
    <w:p w:rsidR="00000000" w:rsidDel="00000000" w:rsidP="00000000" w:rsidRDefault="00000000" w:rsidRPr="00000000" w14:paraId="00000006">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tool we use is called Acadience Reading.  Acadience offers measures that help teachers and schools determine how students are performing on foundational reading skills.  Acadience tests are “indicators” of the student’s overall reading proficiency.  Just like using a thermometer to take your child’s temperature, which provides a quick indicator of your child’s general health, a school can quickly identify students who do not meet the benchmark goals on each Acadience measure and provide extra support as needed.</w:t>
      </w:r>
    </w:p>
    <w:p w:rsidR="00000000" w:rsidDel="00000000" w:rsidP="00000000" w:rsidRDefault="00000000" w:rsidRPr="00000000" w14:paraId="00000007">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letter is to inform you that, based on middle-of-year benchmark data, your child is reading on grade level and progress is being made.</w:t>
      </w:r>
    </w:p>
    <w:p w:rsidR="00000000" w:rsidDel="00000000" w:rsidP="00000000" w:rsidRDefault="00000000" w:rsidRPr="00000000" w14:paraId="00000008">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rsidR="00000000" w:rsidDel="00000000" w:rsidP="00000000" w:rsidRDefault="00000000" w:rsidRPr="00000000" w14:paraId="00000009">
      <w:pPr>
        <w:spacing w:after="160" w:line="256.799454545454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160" w:line="256.799454545454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Sincerely,</w:t>
      </w:r>
    </w:p>
    <w:p w:rsidR="00000000" w:rsidDel="00000000" w:rsidP="00000000" w:rsidRDefault="00000000" w:rsidRPr="00000000" w14:paraId="0000000B">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after="160" w:line="256.7994545454545"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