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rtl w:val="0"/>
        </w:rPr>
        <w:t xml:space="preserve">JORDAN SCHOOL DISTRICT</w:t>
      </w:r>
    </w:p>
    <w:p w:rsidR="00000000" w:rsidDel="00000000" w:rsidP="00000000" w:rsidRDefault="00000000" w:rsidRPr="00000000" w14:paraId="0000000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Anthony Godfrey, Ed.D., Superintendent of Schools</w:t>
      </w:r>
    </w:p>
    <w:p w:rsidR="00000000" w:rsidDel="00000000" w:rsidP="00000000" w:rsidRDefault="00000000" w:rsidRPr="00000000" w14:paraId="0000000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West Jordan, Utah</w:t>
      </w:r>
    </w:p>
    <w:p w:rsidR="00000000" w:rsidDel="00000000" w:rsidP="00000000" w:rsidRDefault="00000000" w:rsidRPr="00000000" w14:paraId="00000004">
      <w:pPr>
        <w:jc w:val="cente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05">
      <w:pPr>
        <w:pStyle w:val="Heading1"/>
        <w:rPr>
          <w:rFonts w:ascii="Calibri" w:cs="Calibri" w:eastAsia="Calibri" w:hAnsi="Calibri"/>
        </w:rPr>
      </w:pPr>
      <w:r w:rsidDel="00000000" w:rsidR="00000000" w:rsidRPr="00000000">
        <w:rPr>
          <w:rFonts w:ascii="Calibri" w:cs="Calibri" w:eastAsia="Calibri" w:hAnsi="Calibri"/>
          <w:rtl w:val="0"/>
        </w:rPr>
        <w:t xml:space="preserve">Intradistrict Communication</w:t>
      </w:r>
    </w:p>
    <w:p w:rsidR="00000000" w:rsidDel="00000000" w:rsidP="00000000" w:rsidRDefault="00000000" w:rsidRPr="00000000" w14:paraId="00000006">
      <w:pPr>
        <w:rPr>
          <w:rFonts w:ascii="Calibri" w:cs="Calibri" w:eastAsia="Calibri" w:hAnsi="Calibri"/>
          <w:b w:val="1"/>
          <w:bCs w:val="1"/>
          <w:sz w:val="14"/>
          <w:szCs w:val="1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tab/>
        <w:tab/>
        <w:t xml:space="preserve">March 19, 2026</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w:t>
        <w:tab/>
        <w:tab/>
        <w:t xml:space="preserve">Department Administrators</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Building Principals</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w:t>
        <w:tab/>
        <w:tab/>
        <w:t xml:space="preserve">Michael Anderson, Associate Superintendent</w:t>
      </w:r>
    </w:p>
    <w:p w:rsidR="00000000" w:rsidDel="00000000" w:rsidP="00000000" w:rsidRDefault="00000000" w:rsidRPr="00000000" w14:paraId="0000000E">
      <w:pPr>
        <w:ind w:left="72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Travis Hamblin, Director, Student Services</w:t>
      </w:r>
    </w:p>
    <w:p w:rsidR="00000000" w:rsidDel="00000000" w:rsidP="00000000" w:rsidRDefault="00000000" w:rsidRPr="00000000" w14:paraId="0000000F">
      <w:pPr>
        <w:ind w:left="72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Caleb Olson, Enrollment Consultant, Student Services</w:t>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w:t>
        <w:tab/>
        <w:t xml:space="preserve">Required Survey on Data Collection Practices for GDPA</w:t>
      </w:r>
    </w:p>
    <w:p w:rsidR="00000000" w:rsidDel="00000000" w:rsidP="00000000" w:rsidRDefault="00000000" w:rsidRPr="00000000" w14:paraId="00000012">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2024, the Utah Legislature passed legislation (the Government Data Privacy Act, or GDPA) requiring improvements to the data use and retention practices of all government entities, including LEAs. There will be various requirements and process changes that require input and cooperation of departments and schools as existing practices are adjusted and new procedures implemented to meet the requirements of this law.</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such requirement is an inventory of practices regarding the sharing, selling, and purchasing of data, as well as documenting how data is collected from various patron groups (students, employees, and community members). This inventory will be created through department and school responses to a survey, linked below:</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sz w:val="22"/>
          <w:szCs w:val="22"/>
        </w:rPr>
      </w:pPr>
      <w:hyperlink r:id="rId6">
        <w:r w:rsidDel="00000000" w:rsidR="00000000" w:rsidRPr="00000000">
          <w:rPr>
            <w:rFonts w:ascii="Calibri" w:cs="Calibri" w:eastAsia="Calibri" w:hAnsi="Calibri"/>
            <w:color w:val="0000ff"/>
            <w:sz w:val="22"/>
            <w:szCs w:val="22"/>
            <w:u w:val="single"/>
            <w:rtl w:val="0"/>
          </w:rPr>
          <w:t xml:space="preserve">https://jordandistrict.sjc1.qualtrics.com/jfe/form/SV_25I65LX2Nbzi0gS</w:t>
        </w:r>
      </w:hyperlink>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survey asks for responses on data collection, sharing, selling, and purchasing in a variety of categories specified in Utah law. Department administrators and building principals do not need to directly complete the survey themselves but should be involved in the review of processes and procedures that will be required to answer the survey.</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administrators (or designees) are asked to complete the survey by June 1, 2026. Building principals (or designees) are asked to complete the survey by July 1, 2026. </w:t>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Questions or concerns should be communicated to Caleb Olson. </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Department Administrators: A list of departments and “sub-units” in each department are provided on the next page. If “sub-units” are missing and will be completing the survey on their own, please provide the name of the organization to Caleb Olson ASAP. If desired, a department administrator may collect answers from all “sub-units” and provide one response to the survey. If one department response will be submitted, please communicate this to Caleb Olson.</w:t>
      </w:r>
    </w:p>
    <w:p w:rsidR="00000000" w:rsidDel="00000000" w:rsidP="00000000" w:rsidRDefault="00000000" w:rsidRPr="00000000" w14:paraId="00000021">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Departments and “Sub-Units”:</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Administration / Cabinet</w:t>
      </w:r>
    </w:p>
    <w:p w:rsidR="00000000" w:rsidDel="00000000" w:rsidP="00000000" w:rsidRDefault="00000000" w:rsidRPr="00000000" w14:paraId="00000025">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Administration / Cabinet &gt; Superintendent</w:t>
      </w:r>
    </w:p>
    <w:p w:rsidR="00000000" w:rsidDel="00000000" w:rsidP="00000000" w:rsidRDefault="00000000" w:rsidRPr="00000000" w14:paraId="00000026">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Administration / Cabinet &gt; Business Administrator</w:t>
      </w:r>
    </w:p>
    <w:p w:rsidR="00000000" w:rsidDel="00000000" w:rsidP="00000000" w:rsidRDefault="00000000" w:rsidRPr="00000000" w14:paraId="00000027">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Administration / Cabinet &gt; Associate Superintendent</w:t>
      </w:r>
    </w:p>
    <w:p w:rsidR="00000000" w:rsidDel="00000000" w:rsidP="00000000" w:rsidRDefault="00000000" w:rsidRPr="00000000" w14:paraId="00000028">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Administration / Cabinet &gt; Administrators of Schools</w:t>
      </w:r>
    </w:p>
    <w:p w:rsidR="00000000" w:rsidDel="00000000" w:rsidP="00000000" w:rsidRDefault="00000000" w:rsidRPr="00000000" w14:paraId="00000029">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District Administration / Cabinet &gt; Nursing Services</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Accounting, Budgets, and Audits</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Assessment, Research, and Accountability</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Auxiliary Services</w:t>
      </w:r>
    </w:p>
    <w:p w:rsidR="00000000" w:rsidDel="00000000" w:rsidP="00000000" w:rsidRDefault="00000000" w:rsidRPr="00000000" w14:paraId="0000002D">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Auxiliary Services &gt; Custodial/Energy Services</w:t>
      </w:r>
    </w:p>
    <w:p w:rsidR="00000000" w:rsidDel="00000000" w:rsidP="00000000" w:rsidRDefault="00000000" w:rsidRPr="00000000" w14:paraId="0000002E">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Auxiliary Services &gt; Facility Services</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CTE</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Communications</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Compliance &amp; Legal Services</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Human Resources</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Information Systems</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Insurance Services</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Jordan Family Ed Center</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Language &amp; Culture Services</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Nutrition Services</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Payroll</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Purchasing</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 Education</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Services</w:t>
      </w:r>
    </w:p>
    <w:p w:rsidR="00000000" w:rsidDel="00000000" w:rsidP="00000000" w:rsidRDefault="00000000" w:rsidRPr="00000000" w14:paraId="0000003C">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Services &gt; Counseling</w:t>
      </w:r>
    </w:p>
    <w:p w:rsidR="00000000" w:rsidDel="00000000" w:rsidP="00000000" w:rsidRDefault="00000000" w:rsidRPr="00000000" w14:paraId="0000003D">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Services &gt; Guidance</w:t>
      </w:r>
    </w:p>
    <w:p w:rsidR="00000000" w:rsidDel="00000000" w:rsidP="00000000" w:rsidRDefault="00000000" w:rsidRPr="00000000" w14:paraId="0000003E">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Services &gt; Health &amp; Wellness</w:t>
      </w:r>
    </w:p>
    <w:p w:rsidR="00000000" w:rsidDel="00000000" w:rsidP="00000000" w:rsidRDefault="00000000" w:rsidRPr="00000000" w14:paraId="0000003F">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Services &gt; Planning &amp; Enrollment</w:t>
      </w:r>
    </w:p>
    <w:p w:rsidR="00000000" w:rsidDel="00000000" w:rsidP="00000000" w:rsidRDefault="00000000" w:rsidRPr="00000000" w14:paraId="00000040">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Services &gt; Student Support Services</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w:t>
      </w:r>
    </w:p>
    <w:p w:rsidR="00000000" w:rsidDel="00000000" w:rsidP="00000000" w:rsidRDefault="00000000" w:rsidRPr="00000000" w14:paraId="00000042">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Digital Learning</w:t>
      </w:r>
    </w:p>
    <w:p w:rsidR="00000000" w:rsidDel="00000000" w:rsidP="00000000" w:rsidRDefault="00000000" w:rsidRPr="00000000" w14:paraId="00000043">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Dual Immersion</w:t>
      </w:r>
    </w:p>
    <w:p w:rsidR="00000000" w:rsidDel="00000000" w:rsidP="00000000" w:rsidRDefault="00000000" w:rsidRPr="00000000" w14:paraId="00000044">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Gifted and Talented</w:t>
      </w:r>
    </w:p>
    <w:p w:rsidR="00000000" w:rsidDel="00000000" w:rsidP="00000000" w:rsidRDefault="00000000" w:rsidRPr="00000000" w14:paraId="00000045">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Instructional Coaching</w:t>
      </w:r>
    </w:p>
    <w:p w:rsidR="00000000" w:rsidDel="00000000" w:rsidP="00000000" w:rsidRDefault="00000000" w:rsidRPr="00000000" w14:paraId="00000046">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Instructional Support Services</w:t>
      </w:r>
    </w:p>
    <w:p w:rsidR="00000000" w:rsidDel="00000000" w:rsidP="00000000" w:rsidRDefault="00000000" w:rsidRPr="00000000" w14:paraId="00000047">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JCC</w:t>
      </w:r>
    </w:p>
    <w:p w:rsidR="00000000" w:rsidDel="00000000" w:rsidP="00000000" w:rsidRDefault="00000000" w:rsidRPr="00000000" w14:paraId="00000048">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Language Arts</w:t>
      </w:r>
    </w:p>
    <w:p w:rsidR="00000000" w:rsidDel="00000000" w:rsidP="00000000" w:rsidRDefault="00000000" w:rsidRPr="00000000" w14:paraId="00000049">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Math</w:t>
      </w:r>
    </w:p>
    <w:p w:rsidR="00000000" w:rsidDel="00000000" w:rsidP="00000000" w:rsidRDefault="00000000" w:rsidRPr="00000000" w14:paraId="0000004A">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Performing &amp; Fine Arts</w:t>
      </w:r>
    </w:p>
    <w:p w:rsidR="00000000" w:rsidDel="00000000" w:rsidP="00000000" w:rsidRDefault="00000000" w:rsidRPr="00000000" w14:paraId="0000004B">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Science, Health, PE</w:t>
      </w:r>
    </w:p>
    <w:p w:rsidR="00000000" w:rsidDel="00000000" w:rsidP="00000000" w:rsidRDefault="00000000" w:rsidRPr="00000000" w14:paraId="0000004C">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Social Studies &amp; World Languages</w:t>
      </w:r>
    </w:p>
    <w:p w:rsidR="00000000" w:rsidDel="00000000" w:rsidP="00000000" w:rsidRDefault="00000000" w:rsidRPr="00000000" w14:paraId="0000004D">
      <w:pPr>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&amp; Learning &gt; Special Assignments</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Transportation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mo" w:cs="Arimo" w:eastAsia="Arimo" w:hAnsi="Arimo"/>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ordandistrict.sjc1.qualtrics.com/jfe/form/SV_25I65LX2Nbzi0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