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0A" w:rsidRDefault="00A5190A" w:rsidP="00A5190A">
      <w:pPr>
        <w:jc w:val="center"/>
        <w:rPr>
          <w:rFonts w:ascii="Helvetica" w:hAnsi="Helvetic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</w:rPr>
            <w:t>JORDAN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</w:rPr>
            <w:t>SCHOOL DISTRICT</w:t>
          </w:r>
        </w:smartTag>
      </w:smartTag>
    </w:p>
    <w:p w:rsidR="00A5190A" w:rsidRDefault="00A5190A" w:rsidP="00A5190A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Anthony Godfrey, Ed.D., Superintendent of Schools</w:t>
      </w:r>
    </w:p>
    <w:p w:rsidR="00A5190A" w:rsidRDefault="00A5190A" w:rsidP="00A5190A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West Jordan,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957F14">
        <w:rPr>
          <w:rFonts w:ascii="Arial" w:hAnsi="Arial"/>
        </w:rPr>
        <w:t xml:space="preserve">December </w:t>
      </w:r>
      <w:r w:rsidR="00395FB8">
        <w:rPr>
          <w:rFonts w:ascii="Arial" w:hAnsi="Arial"/>
        </w:rPr>
        <w:t>1, 2020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EB0787">
        <w:rPr>
          <w:rFonts w:ascii="Arial" w:hAnsi="Arial"/>
        </w:rPr>
        <w:t>D</w:t>
      </w:r>
      <w:r w:rsidR="00B664ED">
        <w:rPr>
          <w:rFonts w:ascii="Arial" w:hAnsi="Arial"/>
        </w:rPr>
        <w:t>erek Anderson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957F14">
        <w:rPr>
          <w:rFonts w:ascii="Arial" w:hAnsi="Arial"/>
          <w:b/>
          <w:bCs/>
        </w:rPr>
        <w:t>December</w:t>
      </w:r>
      <w:r w:rsidR="00F30AC8">
        <w:rPr>
          <w:rFonts w:ascii="Arial" w:hAnsi="Arial"/>
          <w:b/>
          <w:bCs/>
        </w:rPr>
        <w:t xml:space="preserve"> 20</w:t>
      </w:r>
      <w:r w:rsidR="00395FB8">
        <w:rPr>
          <w:rFonts w:ascii="Arial" w:hAnsi="Arial"/>
          <w:b/>
          <w:bCs/>
        </w:rPr>
        <w:t>20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</w:t>
      </w:r>
      <w:r w:rsidR="00B664ED">
        <w:t>erek</w:t>
      </w:r>
      <w:r w:rsidRPr="00355931">
        <w:t xml:space="preserve"> by </w:t>
      </w:r>
      <w:r w:rsidR="00957F14">
        <w:t>January</w:t>
      </w:r>
      <w:r w:rsidR="000B6C85">
        <w:t xml:space="preserve"> </w:t>
      </w:r>
      <w:r w:rsidR="0052741E">
        <w:t>4</w:t>
      </w:r>
      <w:r w:rsidR="00B01A1C">
        <w:t xml:space="preserve">, </w:t>
      </w:r>
      <w:r w:rsidR="00CD6098">
        <w:t>20</w:t>
      </w:r>
      <w:r w:rsidR="00395FB8">
        <w:t>21</w:t>
      </w:r>
      <w:r w:rsidRPr="00355931">
        <w:t xml:space="preserve">. If </w:t>
      </w:r>
      <w:r w:rsidR="00B664ED">
        <w:t>Derek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957F14">
        <w:t>January</w:t>
      </w:r>
      <w:r w:rsidR="006C755B">
        <w:t xml:space="preserve"> </w:t>
      </w:r>
      <w:r w:rsidR="0052741E">
        <w:t>4</w:t>
      </w:r>
      <w:r w:rsidR="006C755B">
        <w:t>, 20</w:t>
      </w:r>
      <w:r w:rsidR="00395FB8">
        <w:t>21</w:t>
      </w:r>
      <w:r w:rsidRPr="00355931">
        <w:t xml:space="preserve">, </w:t>
      </w:r>
      <w:r w:rsidR="00B664ED">
        <w:t>Derek</w:t>
      </w:r>
      <w:r w:rsidRPr="00355931">
        <w:t xml:space="preserve"> will assume no transfer is requested. The next opportun</w:t>
      </w:r>
      <w:r w:rsidR="00AC51EA">
        <w:t xml:space="preserve">ity to make such a transfer is </w:t>
      </w:r>
      <w:r w:rsidR="00957F14">
        <w:t>June</w:t>
      </w:r>
      <w:r w:rsidR="00031143">
        <w:t xml:space="preserve"> </w:t>
      </w:r>
      <w:r w:rsidR="003010D7">
        <w:t>20</w:t>
      </w:r>
      <w:r w:rsidR="00395FB8">
        <w:t>21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395FB8" w:rsidRDefault="00CE6DF8" w:rsidP="00103BFF">
      <w:pPr>
        <w:tabs>
          <w:tab w:val="left" w:pos="1080"/>
        </w:tabs>
      </w:pPr>
      <w:r w:rsidRPr="00355931">
        <w:t>Principal’s Signature: ______________</w:t>
      </w:r>
      <w:bookmarkStart w:id="0" w:name="_GoBack"/>
      <w:bookmarkEnd w:id="0"/>
    </w:p>
    <w:p w:rsidR="00395FB8" w:rsidRPr="00395FB8" w:rsidRDefault="00395FB8" w:rsidP="00395FB8">
      <w:pPr>
        <w:tabs>
          <w:tab w:val="left" w:pos="1080"/>
        </w:tabs>
        <w:rPr>
          <w:b/>
          <w:sz w:val="36"/>
        </w:rPr>
      </w:pPr>
      <w:r w:rsidRPr="00395FB8">
        <w:rPr>
          <w:b/>
          <w:sz w:val="36"/>
        </w:rPr>
        <w:lastRenderedPageBreak/>
        <w:t>As a reminder!</w:t>
      </w:r>
    </w:p>
    <w:p w:rsidR="00395FB8" w:rsidRDefault="00395FB8" w:rsidP="00395FB8">
      <w:pPr>
        <w:tabs>
          <w:tab w:val="left" w:pos="1080"/>
        </w:tabs>
      </w:pPr>
    </w:p>
    <w:p w:rsidR="00395FB8" w:rsidRDefault="00395FB8" w:rsidP="00395FB8">
      <w:pPr>
        <w:tabs>
          <w:tab w:val="left" w:pos="1080"/>
        </w:tabs>
      </w:pPr>
      <w:r>
        <w:t xml:space="preserve">There is now a form on the District website on the accounting page. The web address is </w:t>
      </w:r>
      <w:hyperlink r:id="rId4" w:history="1">
        <w:r>
          <w:rPr>
            <w:rStyle w:val="Hyperlink"/>
          </w:rPr>
          <w:t>https://jordandistrict.org/departments/accounting/</w:t>
        </w:r>
      </w:hyperlink>
      <w:r>
        <w:t>. At the bottom of the page there is a PDF titled “School Budget Allocation Transfer Form.”</w:t>
      </w:r>
    </w:p>
    <w:p w:rsidR="00395FB8" w:rsidRDefault="00395FB8" w:rsidP="00395FB8">
      <w:pPr>
        <w:tabs>
          <w:tab w:val="left" w:pos="1080"/>
        </w:tabs>
      </w:pPr>
    </w:p>
    <w:p w:rsidR="00395FB8" w:rsidRDefault="00395FB8" w:rsidP="00395FB8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DFC9F" wp14:editId="11413CFA">
                <wp:simplePos x="0" y="0"/>
                <wp:positionH relativeFrom="column">
                  <wp:posOffset>2672715</wp:posOffset>
                </wp:positionH>
                <wp:positionV relativeFrom="paragraph">
                  <wp:posOffset>26116</wp:posOffset>
                </wp:positionV>
                <wp:extent cx="2673985" cy="24403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440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B8" w:rsidRDefault="00395FB8" w:rsidP="00395FB8">
                            <w:r>
                              <w:t xml:space="preserve">You can save a copy on your computer or use this link each time you need to submit a budget transfer. </w:t>
                            </w:r>
                            <w:r>
                              <w:br/>
                            </w:r>
                            <w:r>
                              <w:br/>
                              <w:t>Transfers will be posted at the end of each month. The reports sent to you on the 5</w:t>
                            </w:r>
                            <w:r w:rsidRPr="00E30C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should reflect the transfers you have submitted.</w:t>
                            </w:r>
                          </w:p>
                          <w:p w:rsidR="00395FB8" w:rsidRDefault="00395FB8" w:rsidP="00395FB8"/>
                          <w:p w:rsidR="00395FB8" w:rsidRDefault="00395FB8" w:rsidP="00395FB8">
                            <w:r>
                              <w:t>The form looks just like the paper form you are familiar with. The totals will automatically calculate for you and increases should match decreases.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F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45pt;margin-top:2.05pt;width:210.55pt;height:19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o0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" filled="f" stroked="f">
                <v:textbox>
                  <w:txbxContent>
                    <w:p w:rsidR="00395FB8" w:rsidRDefault="00395FB8" w:rsidP="00395FB8">
                      <w:r>
                        <w:t xml:space="preserve">You can save a copy on your computer or use this link each time you need to submit a budget transfer. </w:t>
                      </w:r>
                      <w:r>
                        <w:br/>
                      </w:r>
                      <w:r>
                        <w:br/>
                        <w:t>Transfers will be posted at the end of each month. The reports sent to you on the 5</w:t>
                      </w:r>
                      <w:r w:rsidRPr="00E30CC4">
                        <w:rPr>
                          <w:vertAlign w:val="superscript"/>
                        </w:rPr>
                        <w:t>th</w:t>
                      </w:r>
                      <w:r>
                        <w:t xml:space="preserve"> should reflect the transfers you have submitted.</w:t>
                      </w:r>
                    </w:p>
                    <w:p w:rsidR="00395FB8" w:rsidRDefault="00395FB8" w:rsidP="00395FB8"/>
                    <w:p w:rsidR="00395FB8" w:rsidRDefault="00395FB8" w:rsidP="00395FB8">
                      <w:r>
                        <w:t>The form looks just like the paper form you are familiar with. The totals will automatically calculate for you and increases should match decreases.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2056">
        <w:rPr>
          <w:noProof/>
        </w:rPr>
        <w:drawing>
          <wp:inline distT="0" distB="0" distL="0" distR="0" wp14:anchorId="0ECCF4CD" wp14:editId="67D815DE">
            <wp:extent cx="2013155" cy="251241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169" cy="258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B8" w:rsidRDefault="00395FB8" w:rsidP="00395FB8">
      <w:pPr>
        <w:tabs>
          <w:tab w:val="left" w:pos="1080"/>
        </w:tabs>
      </w:pPr>
    </w:p>
    <w:p w:rsidR="00395FB8" w:rsidRDefault="00D345C7" w:rsidP="00395FB8">
      <w:pPr>
        <w:tabs>
          <w:tab w:val="left" w:pos="1080"/>
        </w:tabs>
      </w:pPr>
      <w:r>
        <w:t xml:space="preserve">You do not have to wait for December transfers now, you can submit them from August through December. </w:t>
      </w:r>
      <w:r w:rsidR="00395FB8" w:rsidRPr="002C3B77">
        <w:t>If you have any questions, please call or email Derek.</w:t>
      </w:r>
      <w:r w:rsidR="00395FB8">
        <w:t xml:space="preserve"> </w:t>
      </w:r>
    </w:p>
    <w:p w:rsidR="00395FB8" w:rsidRDefault="00395FB8" w:rsidP="00395FB8">
      <w:pPr>
        <w:tabs>
          <w:tab w:val="left" w:pos="1080"/>
        </w:tabs>
      </w:pPr>
      <w:r w:rsidRPr="002C3B77">
        <w:t xml:space="preserve">Extension – 88275; </w:t>
      </w:r>
    </w:p>
    <w:p w:rsidR="00395FB8" w:rsidRDefault="00395FB8" w:rsidP="00395FB8">
      <w:pPr>
        <w:tabs>
          <w:tab w:val="left" w:pos="1080"/>
        </w:tabs>
      </w:pPr>
      <w:r w:rsidRPr="002C3B77">
        <w:t>E-Mail –</w:t>
      </w:r>
      <w:hyperlink r:id="rId6" w:history="1">
        <w:r w:rsidRPr="002C3B77">
          <w:rPr>
            <w:rStyle w:val="Hyperlink"/>
          </w:rPr>
          <w:t>derek.anderson2@jordandistrict.org</w:t>
        </w:r>
      </w:hyperlink>
    </w:p>
    <w:p w:rsidR="00CE6DF8" w:rsidRPr="00355931" w:rsidRDefault="00CE6DF8" w:rsidP="00103BFF">
      <w:pPr>
        <w:tabs>
          <w:tab w:val="left" w:pos="1080"/>
        </w:tabs>
      </w:pP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201AEC"/>
    <w:rsid w:val="0020278C"/>
    <w:rsid w:val="00223CD0"/>
    <w:rsid w:val="002457BB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95FB8"/>
    <w:rsid w:val="003A4188"/>
    <w:rsid w:val="004C1D11"/>
    <w:rsid w:val="0052741E"/>
    <w:rsid w:val="0057611A"/>
    <w:rsid w:val="00581711"/>
    <w:rsid w:val="005B4279"/>
    <w:rsid w:val="006478FD"/>
    <w:rsid w:val="0068343F"/>
    <w:rsid w:val="006A1C32"/>
    <w:rsid w:val="006C755B"/>
    <w:rsid w:val="006F7DEE"/>
    <w:rsid w:val="00716AB1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57F14"/>
    <w:rsid w:val="0099505C"/>
    <w:rsid w:val="009C0283"/>
    <w:rsid w:val="00A5190A"/>
    <w:rsid w:val="00AC51EA"/>
    <w:rsid w:val="00B00158"/>
    <w:rsid w:val="00B01A1C"/>
    <w:rsid w:val="00B040E7"/>
    <w:rsid w:val="00B159A7"/>
    <w:rsid w:val="00B664ED"/>
    <w:rsid w:val="00B67536"/>
    <w:rsid w:val="00CD6098"/>
    <w:rsid w:val="00CE6DF8"/>
    <w:rsid w:val="00D345C7"/>
    <w:rsid w:val="00DE505E"/>
    <w:rsid w:val="00DF0D40"/>
    <w:rsid w:val="00E27672"/>
    <w:rsid w:val="00EB0787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F660DB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k.anderson2@jordandistrict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jordandistrict.org/departments/accou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nadine.page</cp:lastModifiedBy>
  <cp:revision>7</cp:revision>
  <cp:lastPrinted>2018-12-04T00:24:00Z</cp:lastPrinted>
  <dcterms:created xsi:type="dcterms:W3CDTF">2020-12-01T21:52:00Z</dcterms:created>
  <dcterms:modified xsi:type="dcterms:W3CDTF">2020-12-03T00:46:00Z</dcterms:modified>
</cp:coreProperties>
</file>